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0E" w:rsidRPr="00C422E6" w:rsidRDefault="006D7A0E" w:rsidP="00EB4BE5">
      <w:pPr>
        <w:jc w:val="both"/>
        <w:rPr>
          <w:rFonts w:ascii="標楷體" w:eastAsia="標楷體" w:hAnsi="標楷體" w:cs="Times New Roman"/>
        </w:rPr>
      </w:pPr>
    </w:p>
    <w:p w:rsidR="006D7A0E" w:rsidRPr="00C422E6" w:rsidRDefault="006D7A0E" w:rsidP="00EB4BE5">
      <w:pPr>
        <w:jc w:val="both"/>
        <w:rPr>
          <w:rFonts w:ascii="標楷體" w:eastAsia="標楷體" w:hAnsi="標楷體" w:cs="Times New Roman"/>
        </w:rPr>
      </w:pPr>
    </w:p>
    <w:p w:rsidR="006D7A0E" w:rsidRPr="00C422E6" w:rsidRDefault="006D7A0E" w:rsidP="00EB4BE5">
      <w:pPr>
        <w:jc w:val="both"/>
        <w:rPr>
          <w:rFonts w:ascii="標楷體" w:eastAsia="標楷體" w:hAnsi="標楷體" w:cs="Times New Roman"/>
        </w:rPr>
      </w:pPr>
    </w:p>
    <w:p w:rsidR="006D7A0E" w:rsidRPr="00C422E6" w:rsidRDefault="006D7A0E" w:rsidP="00EB4BE5">
      <w:pPr>
        <w:jc w:val="both"/>
        <w:rPr>
          <w:rFonts w:ascii="標楷體" w:eastAsia="標楷體" w:hAnsi="標楷體" w:cs="Times New Roman"/>
        </w:rPr>
      </w:pPr>
    </w:p>
    <w:p w:rsidR="006D7A0E" w:rsidRPr="00C422E6" w:rsidRDefault="006D7A0E" w:rsidP="00EB4BE5">
      <w:pPr>
        <w:jc w:val="both"/>
        <w:rPr>
          <w:rFonts w:ascii="標楷體" w:eastAsia="標楷體" w:hAnsi="標楷體" w:cs="Times New Roman"/>
        </w:rPr>
      </w:pPr>
    </w:p>
    <w:p w:rsidR="006D7A0E" w:rsidRPr="00C422E6" w:rsidRDefault="006D7A0E" w:rsidP="00EB4BE5">
      <w:pPr>
        <w:jc w:val="both"/>
        <w:rPr>
          <w:rFonts w:ascii="標楷體" w:eastAsia="標楷體" w:hAnsi="標楷體" w:cs="Times New Roman"/>
        </w:rPr>
      </w:pPr>
    </w:p>
    <w:p w:rsidR="006D7A0E" w:rsidRPr="00C422E6" w:rsidRDefault="006D7A0E" w:rsidP="00EB4BE5">
      <w:pPr>
        <w:jc w:val="both"/>
        <w:rPr>
          <w:rFonts w:ascii="標楷體" w:eastAsia="標楷體" w:hAnsi="標楷體" w:cs="Times New Roman"/>
        </w:rPr>
      </w:pPr>
    </w:p>
    <w:p w:rsidR="006D7A0E" w:rsidRPr="00C422E6" w:rsidRDefault="006D7A0E" w:rsidP="007F5B21">
      <w:pPr>
        <w:spacing w:beforeLines="800" w:before="1920"/>
        <w:ind w:leftChars="400" w:left="960" w:rightChars="400" w:right="960"/>
        <w:jc w:val="center"/>
        <w:rPr>
          <w:rFonts w:ascii="標楷體" w:eastAsia="標楷體" w:hAnsi="標楷體" w:cs="Times New Roman"/>
          <w:b/>
          <w:bCs/>
          <w:sz w:val="96"/>
          <w:szCs w:val="96"/>
        </w:rPr>
      </w:pPr>
      <w:r w:rsidRPr="00C422E6">
        <w:rPr>
          <w:rFonts w:ascii="標楷體" w:eastAsia="標楷體" w:hAnsi="標楷體" w:cs="標楷體" w:hint="eastAsia"/>
          <w:b/>
          <w:bCs/>
          <w:sz w:val="96"/>
          <w:szCs w:val="96"/>
        </w:rPr>
        <w:t>住宅價格指數</w:t>
      </w:r>
    </w:p>
    <w:p w:rsidR="006D7A0E" w:rsidRPr="00C422E6" w:rsidRDefault="006D7A0E" w:rsidP="007F5B21">
      <w:pPr>
        <w:spacing w:beforeLines="800" w:before="1920"/>
        <w:ind w:leftChars="400" w:left="960" w:rightChars="400" w:right="960"/>
        <w:jc w:val="both"/>
        <w:rPr>
          <w:rFonts w:ascii="標楷體" w:eastAsia="標楷體" w:hAnsi="標楷體" w:cs="Times New Roman"/>
          <w:sz w:val="36"/>
          <w:szCs w:val="36"/>
        </w:rPr>
      </w:pPr>
    </w:p>
    <w:p w:rsidR="006D7A0E" w:rsidRPr="00C422E6" w:rsidRDefault="006D7A0E" w:rsidP="007F5B21">
      <w:pPr>
        <w:spacing w:beforeLines="800" w:before="1920"/>
        <w:ind w:leftChars="400" w:left="960" w:rightChars="400" w:right="960"/>
        <w:jc w:val="both"/>
        <w:rPr>
          <w:rFonts w:ascii="標楷體" w:eastAsia="標楷體" w:hAnsi="標楷體" w:cs="Times New Roman"/>
          <w:sz w:val="36"/>
          <w:szCs w:val="36"/>
        </w:rPr>
      </w:pPr>
    </w:p>
    <w:p w:rsidR="006D7A0E" w:rsidRPr="00C422E6" w:rsidRDefault="006D7A0E" w:rsidP="007F5B21">
      <w:pPr>
        <w:spacing w:beforeLines="50" w:before="120"/>
        <w:ind w:leftChars="250" w:left="600" w:rightChars="400" w:right="960"/>
        <w:jc w:val="both"/>
        <w:rPr>
          <w:rFonts w:ascii="標楷體" w:eastAsia="標楷體" w:hAnsi="標楷體" w:cs="Times New Roman"/>
          <w:sz w:val="36"/>
          <w:szCs w:val="36"/>
        </w:rPr>
      </w:pPr>
    </w:p>
    <w:p w:rsidR="006D7A0E" w:rsidRPr="00C422E6" w:rsidRDefault="006D7A0E" w:rsidP="007F5B21">
      <w:pPr>
        <w:spacing w:beforeLines="50" w:before="120"/>
        <w:ind w:leftChars="250" w:left="600" w:rightChars="400" w:right="960"/>
        <w:jc w:val="both"/>
        <w:rPr>
          <w:rFonts w:ascii="標楷體" w:eastAsia="標楷體" w:hAnsi="標楷體" w:cs="Times New Roman"/>
          <w:sz w:val="36"/>
          <w:szCs w:val="36"/>
        </w:rPr>
      </w:pPr>
    </w:p>
    <w:p w:rsidR="006D7A0E" w:rsidRPr="00C422E6" w:rsidRDefault="006D7A0E" w:rsidP="007F5B21">
      <w:pPr>
        <w:spacing w:beforeLines="50" w:before="120"/>
        <w:ind w:leftChars="250" w:left="600" w:rightChars="400" w:right="960"/>
        <w:jc w:val="both"/>
        <w:rPr>
          <w:rFonts w:ascii="標楷體" w:eastAsia="標楷體" w:hAnsi="標楷體" w:cs="Times New Roman"/>
          <w:sz w:val="36"/>
          <w:szCs w:val="36"/>
        </w:rPr>
      </w:pPr>
    </w:p>
    <w:p w:rsidR="006D7A0E" w:rsidRPr="00C422E6" w:rsidRDefault="006D7A0E" w:rsidP="007F5B21">
      <w:pPr>
        <w:spacing w:beforeLines="50" w:before="120"/>
        <w:ind w:leftChars="250" w:left="600" w:rightChars="400" w:right="960"/>
        <w:jc w:val="both"/>
        <w:rPr>
          <w:rFonts w:ascii="標楷體" w:eastAsia="標楷體" w:hAnsi="標楷體" w:cs="Times New Roman"/>
          <w:sz w:val="36"/>
          <w:szCs w:val="36"/>
        </w:rPr>
      </w:pPr>
      <w:r w:rsidRPr="00C422E6">
        <w:rPr>
          <w:rFonts w:ascii="標楷體" w:eastAsia="標楷體" w:hAnsi="標楷體" w:cs="標楷體" w:hint="eastAsia"/>
          <w:sz w:val="36"/>
          <w:szCs w:val="36"/>
        </w:rPr>
        <w:t>基期：中華民國</w:t>
      </w:r>
      <w:r w:rsidRPr="00C422E6">
        <w:rPr>
          <w:rFonts w:ascii="標楷體" w:eastAsia="標楷體" w:hAnsi="標楷體" w:cs="標楷體"/>
          <w:sz w:val="36"/>
          <w:szCs w:val="36"/>
        </w:rPr>
        <w:t>102</w:t>
      </w:r>
      <w:r w:rsidRPr="00C422E6">
        <w:rPr>
          <w:rFonts w:ascii="標楷體" w:eastAsia="標楷體" w:hAnsi="標楷體" w:cs="標楷體" w:hint="eastAsia"/>
          <w:sz w:val="36"/>
          <w:szCs w:val="36"/>
        </w:rPr>
        <w:t>年全年</w:t>
      </w:r>
    </w:p>
    <w:p w:rsidR="006D7A0E" w:rsidRPr="00C422E6" w:rsidRDefault="006D7A0E" w:rsidP="007F5B21">
      <w:pPr>
        <w:spacing w:beforeLines="50" w:before="120"/>
        <w:ind w:leftChars="250" w:left="600" w:rightChars="400" w:right="960"/>
        <w:jc w:val="both"/>
        <w:rPr>
          <w:rFonts w:ascii="標楷體" w:eastAsia="標楷體" w:hAnsi="標楷體" w:cs="Times New Roman"/>
          <w:sz w:val="36"/>
          <w:szCs w:val="36"/>
        </w:rPr>
      </w:pPr>
      <w:r w:rsidRPr="00C422E6">
        <w:rPr>
          <w:rFonts w:ascii="標楷體" w:eastAsia="標楷體" w:hAnsi="標楷體" w:cs="標楷體" w:hint="eastAsia"/>
          <w:sz w:val="36"/>
          <w:szCs w:val="36"/>
        </w:rPr>
        <w:t>計算期</w:t>
      </w:r>
      <w:r>
        <w:rPr>
          <w:rFonts w:ascii="標楷體" w:eastAsia="標楷體" w:hAnsi="標楷體" w:cs="標楷體" w:hint="eastAsia"/>
          <w:sz w:val="36"/>
          <w:szCs w:val="36"/>
        </w:rPr>
        <w:t>間</w:t>
      </w:r>
      <w:r w:rsidRPr="00C422E6">
        <w:rPr>
          <w:rFonts w:ascii="標楷體" w:eastAsia="標楷體" w:hAnsi="標楷體" w:cs="標楷體" w:hint="eastAsia"/>
          <w:sz w:val="36"/>
          <w:szCs w:val="36"/>
        </w:rPr>
        <w:t>：</w:t>
      </w:r>
      <w:r w:rsidRPr="00C422E6">
        <w:rPr>
          <w:rFonts w:ascii="標楷體" w:eastAsia="標楷體" w:hAnsi="標楷體" w:cs="標楷體"/>
          <w:sz w:val="36"/>
          <w:szCs w:val="36"/>
        </w:rPr>
        <w:t>101</w:t>
      </w:r>
      <w:r w:rsidRPr="00C422E6">
        <w:rPr>
          <w:rFonts w:ascii="標楷體" w:eastAsia="標楷體" w:hAnsi="標楷體" w:cs="標楷體" w:hint="eastAsia"/>
          <w:sz w:val="36"/>
          <w:szCs w:val="36"/>
        </w:rPr>
        <w:t>年第</w:t>
      </w:r>
      <w:r>
        <w:rPr>
          <w:rFonts w:ascii="標楷體" w:eastAsia="標楷體" w:hAnsi="標楷體" w:cs="標楷體"/>
          <w:sz w:val="36"/>
          <w:szCs w:val="36"/>
        </w:rPr>
        <w:t>3</w:t>
      </w:r>
      <w:r w:rsidRPr="00C422E6">
        <w:rPr>
          <w:rFonts w:ascii="標楷體" w:eastAsia="標楷體" w:hAnsi="標楷體" w:cs="標楷體" w:hint="eastAsia"/>
          <w:sz w:val="36"/>
          <w:szCs w:val="36"/>
        </w:rPr>
        <w:t>季至</w:t>
      </w:r>
      <w:r w:rsidRPr="00C422E6">
        <w:rPr>
          <w:rFonts w:ascii="標楷體" w:eastAsia="標楷體" w:hAnsi="標楷體" w:cs="標楷體"/>
          <w:sz w:val="36"/>
          <w:szCs w:val="36"/>
        </w:rPr>
        <w:t>105</w:t>
      </w:r>
      <w:r w:rsidRPr="00C422E6">
        <w:rPr>
          <w:rFonts w:ascii="標楷體" w:eastAsia="標楷體" w:hAnsi="標楷體" w:cs="標楷體" w:hint="eastAsia"/>
          <w:sz w:val="36"/>
          <w:szCs w:val="36"/>
        </w:rPr>
        <w:t>年第</w:t>
      </w:r>
      <w:r>
        <w:rPr>
          <w:rFonts w:ascii="標楷體" w:eastAsia="標楷體" w:hAnsi="標楷體" w:cs="標楷體"/>
          <w:sz w:val="36"/>
          <w:szCs w:val="36"/>
        </w:rPr>
        <w:t>3</w:t>
      </w:r>
      <w:r w:rsidRPr="00C422E6">
        <w:rPr>
          <w:rFonts w:ascii="標楷體" w:eastAsia="標楷體" w:hAnsi="標楷體" w:cs="標楷體" w:hint="eastAsia"/>
          <w:sz w:val="36"/>
          <w:szCs w:val="36"/>
        </w:rPr>
        <w:t>季</w:t>
      </w:r>
    </w:p>
    <w:p w:rsidR="006D7A0E" w:rsidRPr="00C422E6" w:rsidRDefault="006D7A0E" w:rsidP="007F5B21">
      <w:pPr>
        <w:spacing w:beforeLines="50" w:before="120"/>
        <w:ind w:leftChars="250" w:left="600" w:rightChars="400" w:right="960"/>
        <w:jc w:val="both"/>
        <w:rPr>
          <w:rFonts w:ascii="標楷體" w:eastAsia="標楷體" w:hAnsi="標楷體" w:cs="Times New Roman"/>
          <w:b/>
          <w:bCs/>
          <w:sz w:val="36"/>
          <w:szCs w:val="36"/>
        </w:rPr>
      </w:pPr>
      <w:r w:rsidRPr="00C422E6">
        <w:rPr>
          <w:rFonts w:ascii="標楷體" w:eastAsia="標楷體" w:hAnsi="標楷體" w:cs="標楷體" w:hint="eastAsia"/>
          <w:sz w:val="36"/>
          <w:szCs w:val="36"/>
        </w:rPr>
        <w:t>中華民國</w:t>
      </w:r>
      <w:r w:rsidRPr="00C422E6">
        <w:rPr>
          <w:rFonts w:ascii="標楷體" w:eastAsia="標楷體" w:hAnsi="標楷體" w:cs="標楷體"/>
          <w:sz w:val="36"/>
          <w:szCs w:val="36"/>
        </w:rPr>
        <w:t>10</w:t>
      </w:r>
      <w:r>
        <w:rPr>
          <w:rFonts w:ascii="標楷體" w:eastAsia="標楷體" w:hAnsi="標楷體" w:cs="標楷體"/>
          <w:sz w:val="36"/>
          <w:szCs w:val="36"/>
        </w:rPr>
        <w:t>6</w:t>
      </w:r>
      <w:r w:rsidRPr="00C422E6">
        <w:rPr>
          <w:rFonts w:ascii="標楷體" w:eastAsia="標楷體" w:hAnsi="標楷體" w:cs="標楷體" w:hint="eastAsia"/>
          <w:sz w:val="36"/>
          <w:szCs w:val="36"/>
        </w:rPr>
        <w:t>年</w:t>
      </w:r>
      <w:r>
        <w:rPr>
          <w:rFonts w:ascii="標楷體" w:eastAsia="標楷體" w:hAnsi="標楷體" w:cs="標楷體"/>
          <w:sz w:val="36"/>
          <w:szCs w:val="36"/>
        </w:rPr>
        <w:t>6</w:t>
      </w:r>
      <w:r w:rsidRPr="00C422E6">
        <w:rPr>
          <w:rFonts w:ascii="標楷體" w:eastAsia="標楷體" w:hAnsi="標楷體" w:cs="標楷體" w:hint="eastAsia"/>
          <w:sz w:val="36"/>
          <w:szCs w:val="36"/>
        </w:rPr>
        <w:t>月</w:t>
      </w:r>
      <w:r w:rsidRPr="00C422E6">
        <w:rPr>
          <w:rFonts w:ascii="標楷體" w:eastAsia="標楷體" w:hAnsi="標楷體" w:cs="標楷體"/>
          <w:sz w:val="36"/>
          <w:szCs w:val="36"/>
        </w:rPr>
        <w:t xml:space="preserve"> </w:t>
      </w:r>
      <w:r w:rsidRPr="00C422E6">
        <w:rPr>
          <w:rFonts w:ascii="標楷體" w:eastAsia="標楷體" w:hAnsi="標楷體" w:cs="Times New Roman"/>
          <w:b/>
          <w:bCs/>
          <w:sz w:val="40"/>
          <w:szCs w:val="40"/>
        </w:rPr>
        <w:br w:type="page"/>
      </w:r>
      <w:r w:rsidRPr="00C422E6">
        <w:rPr>
          <w:rFonts w:ascii="標楷體" w:eastAsia="標楷體" w:hAnsi="標楷體" w:cs="標楷體" w:hint="eastAsia"/>
          <w:b/>
          <w:bCs/>
          <w:sz w:val="40"/>
          <w:szCs w:val="40"/>
        </w:rPr>
        <w:lastRenderedPageBreak/>
        <w:t>住宅價格指數</w:t>
      </w:r>
    </w:p>
    <w:p w:rsidR="006D7A0E" w:rsidRPr="00C422E6" w:rsidRDefault="006D7A0E" w:rsidP="007F5B21">
      <w:pPr>
        <w:spacing w:beforeLines="50" w:before="120" w:afterLines="50" w:after="120"/>
        <w:jc w:val="both"/>
        <w:rPr>
          <w:rFonts w:ascii="標楷體" w:eastAsia="標楷體" w:hAnsi="標楷體" w:cs="Times New Roman"/>
          <w:b/>
          <w:bCs/>
          <w:sz w:val="36"/>
          <w:szCs w:val="36"/>
        </w:rPr>
      </w:pPr>
      <w:r w:rsidRPr="00C422E6">
        <w:rPr>
          <w:rFonts w:ascii="標楷體" w:eastAsia="標楷體" w:hAnsi="標楷體" w:cs="標楷體" w:hint="eastAsia"/>
          <w:b/>
          <w:bCs/>
          <w:sz w:val="36"/>
          <w:szCs w:val="36"/>
        </w:rPr>
        <w:t>【目錄】</w:t>
      </w:r>
    </w:p>
    <w:p w:rsidR="006D7A0E" w:rsidRPr="00C422E6" w:rsidRDefault="006D7A0E" w:rsidP="007F5B21">
      <w:pPr>
        <w:pStyle w:val="10"/>
        <w:spacing w:before="120"/>
        <w:rPr>
          <w:rFonts w:ascii="標楷體" w:eastAsia="標楷體" w:hAnsi="標楷體" w:cs="Times New Roman"/>
          <w:noProof/>
          <w:sz w:val="36"/>
          <w:szCs w:val="36"/>
        </w:rPr>
      </w:pPr>
      <w:r w:rsidRPr="00C422E6">
        <w:rPr>
          <w:rStyle w:val="ac"/>
          <w:rFonts w:ascii="標楷體" w:eastAsia="標楷體" w:hAnsi="標楷體" w:cs="標楷體"/>
          <w:sz w:val="36"/>
          <w:szCs w:val="36"/>
        </w:rPr>
        <w:fldChar w:fldCharType="begin"/>
      </w:r>
      <w:r w:rsidRPr="00C422E6">
        <w:rPr>
          <w:rStyle w:val="ac"/>
          <w:rFonts w:ascii="標楷體" w:eastAsia="標楷體" w:hAnsi="標楷體" w:cs="標楷體"/>
          <w:sz w:val="36"/>
          <w:szCs w:val="36"/>
        </w:rPr>
        <w:instrText xml:space="preserve"> TOC \o "1-1" \h \z \u </w:instrText>
      </w:r>
      <w:r w:rsidRPr="00C422E6">
        <w:rPr>
          <w:rStyle w:val="ac"/>
          <w:rFonts w:ascii="標楷體" w:eastAsia="標楷體" w:hAnsi="標楷體" w:cs="標楷體"/>
          <w:sz w:val="36"/>
          <w:szCs w:val="36"/>
        </w:rPr>
        <w:fldChar w:fldCharType="separate"/>
      </w:r>
      <w:hyperlink w:anchor="_Toc444595130" w:history="1">
        <w:r w:rsidRPr="00C422E6">
          <w:rPr>
            <w:rStyle w:val="ac"/>
            <w:rFonts w:ascii="標楷體" w:eastAsia="標楷體" w:hAnsi="標楷體" w:cs="標楷體" w:hint="eastAsia"/>
            <w:b/>
            <w:bCs/>
            <w:noProof/>
            <w:sz w:val="36"/>
            <w:szCs w:val="36"/>
          </w:rPr>
          <w:t>壹、前言</w:t>
        </w:r>
        <w:r w:rsidRPr="00C422E6">
          <w:rPr>
            <w:rFonts w:ascii="標楷體" w:eastAsia="標楷體" w:hAnsi="標楷體" w:cs="Times New Roman"/>
            <w:noProof/>
            <w:webHidden/>
            <w:sz w:val="36"/>
            <w:szCs w:val="36"/>
          </w:rPr>
          <w:tab/>
        </w:r>
        <w:r w:rsidRPr="00C422E6">
          <w:rPr>
            <w:rFonts w:ascii="標楷體" w:eastAsia="標楷體" w:hAnsi="標楷體" w:cs="標楷體"/>
            <w:noProof/>
            <w:webHidden/>
            <w:sz w:val="36"/>
            <w:szCs w:val="36"/>
          </w:rPr>
          <w:fldChar w:fldCharType="begin"/>
        </w:r>
        <w:r w:rsidRPr="00C422E6">
          <w:rPr>
            <w:rFonts w:ascii="標楷體" w:eastAsia="標楷體" w:hAnsi="標楷體" w:cs="標楷體"/>
            <w:noProof/>
            <w:webHidden/>
            <w:sz w:val="36"/>
            <w:szCs w:val="36"/>
          </w:rPr>
          <w:instrText xml:space="preserve"> PAGEREF _Toc444595130 \h </w:instrText>
        </w:r>
        <w:r w:rsidRPr="00C422E6">
          <w:rPr>
            <w:rFonts w:ascii="標楷體" w:eastAsia="標楷體" w:hAnsi="標楷體" w:cs="標楷體"/>
            <w:noProof/>
            <w:webHidden/>
            <w:sz w:val="36"/>
            <w:szCs w:val="36"/>
          </w:rPr>
        </w:r>
        <w:r w:rsidRPr="00C422E6">
          <w:rPr>
            <w:rFonts w:ascii="標楷體" w:eastAsia="標楷體" w:hAnsi="標楷體" w:cs="標楷體"/>
            <w:noProof/>
            <w:webHidden/>
            <w:sz w:val="36"/>
            <w:szCs w:val="36"/>
          </w:rPr>
          <w:fldChar w:fldCharType="separate"/>
        </w:r>
        <w:r>
          <w:rPr>
            <w:rFonts w:ascii="標楷體" w:eastAsia="標楷體" w:hAnsi="標楷體" w:cs="標楷體"/>
            <w:noProof/>
            <w:webHidden/>
            <w:sz w:val="36"/>
            <w:szCs w:val="36"/>
          </w:rPr>
          <w:t>2</w:t>
        </w:r>
        <w:r w:rsidRPr="00C422E6">
          <w:rPr>
            <w:rFonts w:ascii="標楷體" w:eastAsia="標楷體" w:hAnsi="標楷體" w:cs="標楷體"/>
            <w:noProof/>
            <w:webHidden/>
            <w:sz w:val="36"/>
            <w:szCs w:val="36"/>
          </w:rPr>
          <w:fldChar w:fldCharType="end"/>
        </w:r>
      </w:hyperlink>
    </w:p>
    <w:p w:rsidR="006D7A0E" w:rsidRPr="00C422E6" w:rsidRDefault="00E00A16" w:rsidP="00904842">
      <w:pPr>
        <w:pStyle w:val="10"/>
        <w:spacing w:before="120"/>
        <w:rPr>
          <w:rFonts w:ascii="標楷體" w:eastAsia="標楷體" w:hAnsi="標楷體" w:cs="Times New Roman"/>
          <w:noProof/>
          <w:sz w:val="36"/>
          <w:szCs w:val="36"/>
        </w:rPr>
      </w:pPr>
      <w:hyperlink w:anchor="_Toc444595131" w:history="1">
        <w:r w:rsidR="006D7A0E" w:rsidRPr="00C422E6">
          <w:rPr>
            <w:rStyle w:val="ac"/>
            <w:rFonts w:ascii="標楷體" w:eastAsia="標楷體" w:hAnsi="標楷體" w:cs="標楷體" w:hint="eastAsia"/>
            <w:b/>
            <w:bCs/>
            <w:noProof/>
            <w:sz w:val="36"/>
            <w:szCs w:val="36"/>
          </w:rPr>
          <w:t>貳、住宅價格指數說明</w:t>
        </w:r>
        <w:r w:rsidR="006D7A0E" w:rsidRPr="00C422E6">
          <w:rPr>
            <w:rFonts w:ascii="標楷體" w:eastAsia="標楷體" w:hAnsi="標楷體" w:cs="Times New Roman"/>
            <w:noProof/>
            <w:webHidden/>
            <w:sz w:val="36"/>
            <w:szCs w:val="36"/>
          </w:rPr>
          <w:tab/>
        </w:r>
        <w:r w:rsidR="006D7A0E" w:rsidRPr="00C422E6">
          <w:rPr>
            <w:rFonts w:ascii="標楷體" w:eastAsia="標楷體" w:hAnsi="標楷體" w:cs="標楷體"/>
            <w:noProof/>
            <w:webHidden/>
            <w:sz w:val="36"/>
            <w:szCs w:val="36"/>
          </w:rPr>
          <w:fldChar w:fldCharType="begin"/>
        </w:r>
        <w:r w:rsidR="006D7A0E" w:rsidRPr="00C422E6">
          <w:rPr>
            <w:rFonts w:ascii="標楷體" w:eastAsia="標楷體" w:hAnsi="標楷體" w:cs="標楷體"/>
            <w:noProof/>
            <w:webHidden/>
            <w:sz w:val="36"/>
            <w:szCs w:val="36"/>
          </w:rPr>
          <w:instrText xml:space="preserve"> PAGEREF _Toc444595131 \h </w:instrText>
        </w:r>
        <w:r w:rsidR="006D7A0E" w:rsidRPr="00C422E6">
          <w:rPr>
            <w:rFonts w:ascii="標楷體" w:eastAsia="標楷體" w:hAnsi="標楷體" w:cs="標楷體"/>
            <w:noProof/>
            <w:webHidden/>
            <w:sz w:val="36"/>
            <w:szCs w:val="36"/>
          </w:rPr>
        </w:r>
        <w:r w:rsidR="006D7A0E" w:rsidRPr="00C422E6">
          <w:rPr>
            <w:rFonts w:ascii="標楷體" w:eastAsia="標楷體" w:hAnsi="標楷體" w:cs="標楷體"/>
            <w:noProof/>
            <w:webHidden/>
            <w:sz w:val="36"/>
            <w:szCs w:val="36"/>
          </w:rPr>
          <w:fldChar w:fldCharType="separate"/>
        </w:r>
        <w:r w:rsidR="006D7A0E">
          <w:rPr>
            <w:rFonts w:ascii="標楷體" w:eastAsia="標楷體" w:hAnsi="標楷體" w:cs="標楷體"/>
            <w:noProof/>
            <w:webHidden/>
            <w:sz w:val="36"/>
            <w:szCs w:val="36"/>
          </w:rPr>
          <w:t>2</w:t>
        </w:r>
        <w:r w:rsidR="006D7A0E" w:rsidRPr="00C422E6">
          <w:rPr>
            <w:rFonts w:ascii="標楷體" w:eastAsia="標楷體" w:hAnsi="標楷體" w:cs="標楷體"/>
            <w:noProof/>
            <w:webHidden/>
            <w:sz w:val="36"/>
            <w:szCs w:val="36"/>
          </w:rPr>
          <w:fldChar w:fldCharType="end"/>
        </w:r>
      </w:hyperlink>
    </w:p>
    <w:p w:rsidR="006D7A0E" w:rsidRPr="00C422E6" w:rsidRDefault="00E00A16" w:rsidP="00904842">
      <w:pPr>
        <w:pStyle w:val="10"/>
        <w:spacing w:before="120"/>
        <w:rPr>
          <w:rFonts w:ascii="標楷體" w:eastAsia="標楷體" w:hAnsi="標楷體" w:cs="Times New Roman"/>
          <w:noProof/>
          <w:sz w:val="36"/>
          <w:szCs w:val="36"/>
        </w:rPr>
      </w:pPr>
      <w:hyperlink w:anchor="_Toc444595132" w:history="1">
        <w:r w:rsidR="006D7A0E" w:rsidRPr="00C422E6">
          <w:rPr>
            <w:rStyle w:val="ac"/>
            <w:rFonts w:ascii="標楷體" w:eastAsia="標楷體" w:hAnsi="標楷體" w:cs="標楷體" w:hint="eastAsia"/>
            <w:b/>
            <w:bCs/>
            <w:noProof/>
            <w:sz w:val="36"/>
            <w:szCs w:val="36"/>
          </w:rPr>
          <w:t>參、住宅價格指數統計表</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6</w:t>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33" w:history="1">
        <w:r w:rsidR="006D7A0E" w:rsidRPr="00C422E6">
          <w:rPr>
            <w:rStyle w:val="ac"/>
            <w:rFonts w:ascii="標楷體" w:eastAsia="標楷體" w:hAnsi="標楷體" w:cs="標楷體" w:hint="eastAsia"/>
            <w:noProof/>
            <w:sz w:val="36"/>
            <w:szCs w:val="36"/>
          </w:rPr>
          <w:t>表</w:t>
        </w:r>
        <w:r w:rsidR="006D7A0E" w:rsidRPr="00C422E6">
          <w:rPr>
            <w:rStyle w:val="ac"/>
            <w:rFonts w:ascii="標楷體" w:eastAsia="標楷體" w:hAnsi="標楷體" w:cs="標楷體"/>
            <w:noProof/>
            <w:sz w:val="36"/>
            <w:szCs w:val="36"/>
          </w:rPr>
          <w:t xml:space="preserve">1  </w:t>
        </w:r>
        <w:r w:rsidR="006D7A0E" w:rsidRPr="00C422E6">
          <w:rPr>
            <w:rStyle w:val="ac"/>
            <w:rFonts w:ascii="標楷體" w:eastAsia="標楷體" w:hAnsi="標楷體" w:cs="標楷體" w:hint="eastAsia"/>
            <w:noProof/>
            <w:sz w:val="36"/>
            <w:szCs w:val="36"/>
          </w:rPr>
          <w:t>全國及</w:t>
        </w:r>
        <w:r w:rsidR="006D7A0E" w:rsidRPr="00C422E6">
          <w:rPr>
            <w:rStyle w:val="ac"/>
            <w:rFonts w:ascii="標楷體" w:eastAsia="標楷體" w:hAnsi="標楷體" w:cs="標楷體"/>
            <w:noProof/>
            <w:sz w:val="36"/>
            <w:szCs w:val="36"/>
          </w:rPr>
          <w:t>6</w:t>
        </w:r>
        <w:r w:rsidR="006D7A0E" w:rsidRPr="00C422E6">
          <w:rPr>
            <w:rStyle w:val="ac"/>
            <w:rFonts w:ascii="標楷體" w:eastAsia="標楷體" w:hAnsi="標楷體" w:cs="標楷體" w:hint="eastAsia"/>
            <w:noProof/>
            <w:sz w:val="36"/>
            <w:szCs w:val="36"/>
          </w:rPr>
          <w:t>直轄市住宅價格指數表</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6</w:t>
        </w:r>
      </w:hyperlink>
    </w:p>
    <w:p w:rsidR="006D7A0E" w:rsidRPr="004C2A52" w:rsidRDefault="00E00A16" w:rsidP="00904842">
      <w:pPr>
        <w:pStyle w:val="10"/>
        <w:spacing w:before="120"/>
        <w:ind w:firstLineChars="118" w:firstLine="283"/>
        <w:rPr>
          <w:rFonts w:ascii="標楷體" w:eastAsia="標楷體" w:hAnsi="標楷體" w:cs="Times New Roman"/>
          <w:noProof/>
          <w:sz w:val="36"/>
          <w:szCs w:val="36"/>
        </w:rPr>
      </w:pPr>
      <w:hyperlink w:anchor="_Toc444595134" w:history="1">
        <w:r w:rsidR="006D7A0E" w:rsidRPr="00C422E6">
          <w:rPr>
            <w:rStyle w:val="ac"/>
            <w:rFonts w:ascii="標楷體" w:eastAsia="標楷體" w:hAnsi="標楷體" w:cs="標楷體" w:hint="eastAsia"/>
            <w:noProof/>
            <w:sz w:val="36"/>
            <w:szCs w:val="36"/>
          </w:rPr>
          <w:t>表</w:t>
        </w:r>
        <w:r w:rsidR="006D7A0E" w:rsidRPr="00C422E6">
          <w:rPr>
            <w:rStyle w:val="ac"/>
            <w:rFonts w:ascii="標楷體" w:eastAsia="標楷體" w:hAnsi="標楷體" w:cs="標楷體"/>
            <w:noProof/>
            <w:sz w:val="36"/>
            <w:szCs w:val="36"/>
          </w:rPr>
          <w:t xml:space="preserve">2  </w:t>
        </w:r>
        <w:r w:rsidR="006D7A0E" w:rsidRPr="00C422E6">
          <w:rPr>
            <w:rStyle w:val="ac"/>
            <w:rFonts w:ascii="標楷體" w:eastAsia="標楷體" w:hAnsi="標楷體" w:cs="標楷體" w:hint="eastAsia"/>
            <w:noProof/>
            <w:sz w:val="36"/>
            <w:szCs w:val="36"/>
          </w:rPr>
          <w:t>全國及</w:t>
        </w:r>
        <w:r w:rsidR="006D7A0E" w:rsidRPr="00C422E6">
          <w:rPr>
            <w:rStyle w:val="ac"/>
            <w:rFonts w:ascii="標楷體" w:eastAsia="標楷體" w:hAnsi="標楷體" w:cs="標楷體"/>
            <w:noProof/>
            <w:sz w:val="36"/>
            <w:szCs w:val="36"/>
          </w:rPr>
          <w:t>6</w:t>
        </w:r>
        <w:r w:rsidR="006D7A0E" w:rsidRPr="00C422E6">
          <w:rPr>
            <w:rStyle w:val="ac"/>
            <w:rFonts w:ascii="標楷體" w:eastAsia="標楷體" w:hAnsi="標楷體" w:cs="標楷體" w:hint="eastAsia"/>
            <w:noProof/>
            <w:sz w:val="36"/>
            <w:szCs w:val="36"/>
          </w:rPr>
          <w:t>直轄市住宅價格指數相對上季變動率表</w:t>
        </w:r>
        <w:r w:rsidR="006D7A0E" w:rsidRPr="00C422E6">
          <w:rPr>
            <w:rFonts w:ascii="標楷體" w:eastAsia="標楷體" w:hAnsi="標楷體" w:cs="Times New Roman"/>
            <w:noProof/>
            <w:webHidden/>
            <w:sz w:val="36"/>
            <w:szCs w:val="36"/>
          </w:rPr>
          <w:tab/>
        </w:r>
      </w:hyperlink>
      <w:r w:rsidR="006D7A0E" w:rsidRPr="004C2A52">
        <w:rPr>
          <w:rFonts w:ascii="標楷體" w:eastAsia="標楷體" w:hAnsi="標楷體" w:cs="標楷體"/>
          <w:noProof/>
          <w:sz w:val="36"/>
          <w:szCs w:val="36"/>
        </w:rPr>
        <w:t>7</w:t>
      </w:r>
    </w:p>
    <w:p w:rsidR="006D7A0E" w:rsidRPr="004C2A52" w:rsidRDefault="00E00A16" w:rsidP="00904842">
      <w:pPr>
        <w:pStyle w:val="10"/>
        <w:spacing w:before="120"/>
        <w:ind w:firstLineChars="118" w:firstLine="283"/>
        <w:rPr>
          <w:rFonts w:ascii="標楷體" w:eastAsia="標楷體" w:hAnsi="標楷體" w:cs="Times New Roman"/>
          <w:noProof/>
          <w:sz w:val="36"/>
          <w:szCs w:val="36"/>
        </w:rPr>
      </w:pPr>
      <w:hyperlink w:anchor="_Toc444595135" w:history="1">
        <w:r w:rsidR="006D7A0E" w:rsidRPr="00C422E6">
          <w:rPr>
            <w:rStyle w:val="ac"/>
            <w:rFonts w:ascii="標楷體" w:eastAsia="標楷體" w:hAnsi="標楷體" w:cs="標楷體" w:hint="eastAsia"/>
            <w:noProof/>
            <w:sz w:val="36"/>
            <w:szCs w:val="36"/>
          </w:rPr>
          <w:t>表</w:t>
        </w:r>
        <w:r w:rsidR="006D7A0E" w:rsidRPr="00C422E6">
          <w:rPr>
            <w:rStyle w:val="ac"/>
            <w:rFonts w:ascii="標楷體" w:eastAsia="標楷體" w:hAnsi="標楷體" w:cs="標楷體"/>
            <w:noProof/>
            <w:sz w:val="36"/>
            <w:szCs w:val="36"/>
          </w:rPr>
          <w:t xml:space="preserve">3  </w:t>
        </w:r>
        <w:r w:rsidR="006D7A0E" w:rsidRPr="00C422E6">
          <w:rPr>
            <w:rStyle w:val="ac"/>
            <w:rFonts w:ascii="標楷體" w:eastAsia="標楷體" w:hAnsi="標楷體" w:cs="標楷體" w:hint="eastAsia"/>
            <w:noProof/>
            <w:sz w:val="36"/>
            <w:szCs w:val="36"/>
          </w:rPr>
          <w:t>全國及</w:t>
        </w:r>
        <w:r w:rsidR="006D7A0E" w:rsidRPr="00C422E6">
          <w:rPr>
            <w:rStyle w:val="ac"/>
            <w:rFonts w:ascii="標楷體" w:eastAsia="標楷體" w:hAnsi="標楷體" w:cs="標楷體"/>
            <w:noProof/>
            <w:sz w:val="36"/>
            <w:szCs w:val="36"/>
          </w:rPr>
          <w:t>6</w:t>
        </w:r>
        <w:r w:rsidR="006D7A0E" w:rsidRPr="00C422E6">
          <w:rPr>
            <w:rStyle w:val="ac"/>
            <w:rFonts w:ascii="標楷體" w:eastAsia="標楷體" w:hAnsi="標楷體" w:cs="標楷體" w:hint="eastAsia"/>
            <w:noProof/>
            <w:sz w:val="36"/>
            <w:szCs w:val="36"/>
          </w:rPr>
          <w:t>直轄市住宅價格指數相對去年變動率表</w:t>
        </w:r>
        <w:r w:rsidR="006D7A0E" w:rsidRPr="00C422E6">
          <w:rPr>
            <w:rFonts w:ascii="標楷體" w:eastAsia="標楷體" w:hAnsi="標楷體" w:cs="Times New Roman"/>
            <w:noProof/>
            <w:webHidden/>
            <w:sz w:val="36"/>
            <w:szCs w:val="36"/>
          </w:rPr>
          <w:tab/>
        </w:r>
      </w:hyperlink>
      <w:r w:rsidR="006D7A0E" w:rsidRPr="004C2A52">
        <w:rPr>
          <w:rFonts w:ascii="標楷體" w:eastAsia="標楷體" w:hAnsi="標楷體" w:cs="標楷體"/>
          <w:noProof/>
          <w:sz w:val="36"/>
          <w:szCs w:val="36"/>
        </w:rPr>
        <w:t>8</w:t>
      </w:r>
    </w:p>
    <w:p w:rsidR="006D7A0E" w:rsidRPr="00C422E6" w:rsidRDefault="00E00A16" w:rsidP="00904842">
      <w:pPr>
        <w:pStyle w:val="10"/>
        <w:spacing w:before="120"/>
        <w:rPr>
          <w:rFonts w:ascii="標楷體" w:eastAsia="標楷體" w:hAnsi="標楷體" w:cs="Times New Roman"/>
          <w:noProof/>
          <w:sz w:val="36"/>
          <w:szCs w:val="36"/>
        </w:rPr>
      </w:pPr>
      <w:hyperlink w:anchor="_Toc444595136" w:history="1">
        <w:r w:rsidR="006D7A0E" w:rsidRPr="00C422E6">
          <w:rPr>
            <w:rStyle w:val="ac"/>
            <w:rFonts w:ascii="標楷體" w:eastAsia="標楷體" w:hAnsi="標楷體" w:cs="標楷體" w:hint="eastAsia"/>
            <w:b/>
            <w:bCs/>
            <w:noProof/>
            <w:sz w:val="36"/>
            <w:szCs w:val="36"/>
          </w:rPr>
          <w:t>肆、住宅價格指數圖</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9</w:t>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37" w:history="1">
        <w:r w:rsidR="006D7A0E" w:rsidRPr="00C422E6">
          <w:rPr>
            <w:rStyle w:val="ac"/>
            <w:rFonts w:ascii="標楷體" w:eastAsia="標楷體" w:hAnsi="標楷體" w:cs="標楷體" w:hint="eastAsia"/>
            <w:noProof/>
            <w:sz w:val="36"/>
            <w:szCs w:val="36"/>
          </w:rPr>
          <w:t>圖</w:t>
        </w:r>
        <w:r w:rsidR="006D7A0E" w:rsidRPr="00C422E6">
          <w:rPr>
            <w:rStyle w:val="ac"/>
            <w:rFonts w:ascii="標楷體" w:eastAsia="標楷體" w:hAnsi="標楷體" w:cs="標楷體"/>
            <w:noProof/>
            <w:sz w:val="36"/>
            <w:szCs w:val="36"/>
          </w:rPr>
          <w:t>1</w:t>
        </w:r>
        <w:r w:rsidR="006D7A0E" w:rsidRPr="00C422E6">
          <w:rPr>
            <w:rStyle w:val="ac"/>
            <w:rFonts w:ascii="標楷體" w:eastAsia="標楷體" w:hAnsi="標楷體" w:cs="標楷體" w:hint="eastAsia"/>
            <w:noProof/>
            <w:sz w:val="36"/>
            <w:szCs w:val="36"/>
          </w:rPr>
          <w:t xml:space="preserve">　全國住宅價格指數趨勢圖</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9</w:t>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38" w:history="1">
        <w:r w:rsidR="006D7A0E" w:rsidRPr="00C422E6">
          <w:rPr>
            <w:rStyle w:val="ac"/>
            <w:rFonts w:ascii="標楷體" w:eastAsia="標楷體" w:hAnsi="標楷體" w:cs="標楷體" w:hint="eastAsia"/>
            <w:noProof/>
            <w:sz w:val="36"/>
            <w:szCs w:val="36"/>
          </w:rPr>
          <w:t>圖</w:t>
        </w:r>
        <w:r w:rsidR="006D7A0E" w:rsidRPr="00C422E6">
          <w:rPr>
            <w:rStyle w:val="ac"/>
            <w:rFonts w:ascii="標楷體" w:eastAsia="標楷體" w:hAnsi="標楷體" w:cs="標楷體"/>
            <w:noProof/>
            <w:sz w:val="36"/>
            <w:szCs w:val="36"/>
          </w:rPr>
          <w:t>2</w:t>
        </w:r>
        <w:r w:rsidR="006D7A0E" w:rsidRPr="00C422E6">
          <w:rPr>
            <w:rStyle w:val="ac"/>
            <w:rFonts w:ascii="標楷體" w:eastAsia="標楷體" w:hAnsi="標楷體" w:cs="標楷體" w:hint="eastAsia"/>
            <w:noProof/>
            <w:sz w:val="36"/>
            <w:szCs w:val="36"/>
          </w:rPr>
          <w:t xml:space="preserve">　新北市住宅價格指數趨勢圖</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9</w:t>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39" w:history="1">
        <w:r w:rsidR="006D7A0E" w:rsidRPr="00C422E6">
          <w:rPr>
            <w:rStyle w:val="ac"/>
            <w:rFonts w:ascii="標楷體" w:eastAsia="標楷體" w:hAnsi="標楷體" w:cs="標楷體" w:hint="eastAsia"/>
            <w:noProof/>
            <w:sz w:val="36"/>
            <w:szCs w:val="36"/>
          </w:rPr>
          <w:t>圖</w:t>
        </w:r>
        <w:r w:rsidR="006D7A0E" w:rsidRPr="00C422E6">
          <w:rPr>
            <w:rStyle w:val="ac"/>
            <w:rFonts w:ascii="標楷體" w:eastAsia="標楷體" w:hAnsi="標楷體" w:cs="標楷體"/>
            <w:noProof/>
            <w:sz w:val="36"/>
            <w:szCs w:val="36"/>
          </w:rPr>
          <w:t>3</w:t>
        </w:r>
        <w:r w:rsidR="006D7A0E" w:rsidRPr="00C422E6">
          <w:rPr>
            <w:rStyle w:val="ac"/>
            <w:rFonts w:ascii="標楷體" w:eastAsia="標楷體" w:hAnsi="標楷體" w:cs="標楷體" w:hint="eastAsia"/>
            <w:noProof/>
            <w:sz w:val="36"/>
            <w:szCs w:val="36"/>
          </w:rPr>
          <w:t xml:space="preserve">　臺北市住宅價格指數趨勢圖</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10</w:t>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40" w:history="1">
        <w:r w:rsidR="006D7A0E" w:rsidRPr="00C422E6">
          <w:rPr>
            <w:rStyle w:val="ac"/>
            <w:rFonts w:ascii="標楷體" w:eastAsia="標楷體" w:hAnsi="標楷體" w:cs="標楷體" w:hint="eastAsia"/>
            <w:noProof/>
            <w:sz w:val="36"/>
            <w:szCs w:val="36"/>
          </w:rPr>
          <w:t>圖</w:t>
        </w:r>
        <w:r w:rsidR="006D7A0E" w:rsidRPr="00C422E6">
          <w:rPr>
            <w:rStyle w:val="ac"/>
            <w:rFonts w:ascii="標楷體" w:eastAsia="標楷體" w:hAnsi="標楷體" w:cs="標楷體"/>
            <w:noProof/>
            <w:sz w:val="36"/>
            <w:szCs w:val="36"/>
          </w:rPr>
          <w:t>4</w:t>
        </w:r>
        <w:r w:rsidR="006D7A0E" w:rsidRPr="00C422E6">
          <w:rPr>
            <w:rStyle w:val="ac"/>
            <w:rFonts w:ascii="標楷體" w:eastAsia="標楷體" w:hAnsi="標楷體" w:cs="標楷體" w:hint="eastAsia"/>
            <w:noProof/>
            <w:sz w:val="36"/>
            <w:szCs w:val="36"/>
          </w:rPr>
          <w:t xml:space="preserve">　桃園市住宅價格指數趨勢圖</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10</w:t>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41" w:history="1">
        <w:r w:rsidR="006D7A0E" w:rsidRPr="00C422E6">
          <w:rPr>
            <w:rStyle w:val="ac"/>
            <w:rFonts w:ascii="標楷體" w:eastAsia="標楷體" w:hAnsi="標楷體" w:cs="標楷體" w:hint="eastAsia"/>
            <w:noProof/>
            <w:sz w:val="36"/>
            <w:szCs w:val="36"/>
          </w:rPr>
          <w:t>圖</w:t>
        </w:r>
        <w:r w:rsidR="006D7A0E" w:rsidRPr="00C422E6">
          <w:rPr>
            <w:rStyle w:val="ac"/>
            <w:rFonts w:ascii="標楷體" w:eastAsia="標楷體" w:hAnsi="標楷體" w:cs="標楷體"/>
            <w:noProof/>
            <w:sz w:val="36"/>
            <w:szCs w:val="36"/>
          </w:rPr>
          <w:t>5</w:t>
        </w:r>
        <w:r w:rsidR="006D7A0E" w:rsidRPr="00C422E6">
          <w:rPr>
            <w:rStyle w:val="ac"/>
            <w:rFonts w:ascii="標楷體" w:eastAsia="標楷體" w:hAnsi="標楷體" w:cs="標楷體" w:hint="eastAsia"/>
            <w:noProof/>
            <w:sz w:val="36"/>
            <w:szCs w:val="36"/>
          </w:rPr>
          <w:t xml:space="preserve">　臺中市住宅價格指數趨勢圖</w:t>
        </w:r>
        <w:r w:rsidR="006D7A0E" w:rsidRPr="00C422E6">
          <w:rPr>
            <w:rFonts w:ascii="標楷體" w:eastAsia="標楷體" w:hAnsi="標楷體" w:cs="Times New Roman"/>
            <w:noProof/>
            <w:webHidden/>
            <w:sz w:val="36"/>
            <w:szCs w:val="36"/>
          </w:rPr>
          <w:tab/>
        </w:r>
        <w:r w:rsidR="006D7A0E" w:rsidRPr="00C422E6">
          <w:rPr>
            <w:rFonts w:ascii="標楷體" w:eastAsia="標楷體" w:hAnsi="標楷體" w:cs="標楷體"/>
            <w:noProof/>
            <w:webHidden/>
            <w:sz w:val="36"/>
            <w:szCs w:val="36"/>
          </w:rPr>
          <w:fldChar w:fldCharType="begin"/>
        </w:r>
        <w:r w:rsidR="006D7A0E" w:rsidRPr="00C422E6">
          <w:rPr>
            <w:rFonts w:ascii="標楷體" w:eastAsia="標楷體" w:hAnsi="標楷體" w:cs="標楷體"/>
            <w:noProof/>
            <w:webHidden/>
            <w:sz w:val="36"/>
            <w:szCs w:val="36"/>
          </w:rPr>
          <w:instrText xml:space="preserve"> PAGEREF _Toc444595141 \h </w:instrText>
        </w:r>
        <w:r w:rsidR="006D7A0E" w:rsidRPr="00C422E6">
          <w:rPr>
            <w:rFonts w:ascii="標楷體" w:eastAsia="標楷體" w:hAnsi="標楷體" w:cs="標楷體"/>
            <w:noProof/>
            <w:webHidden/>
            <w:sz w:val="36"/>
            <w:szCs w:val="36"/>
          </w:rPr>
        </w:r>
        <w:r w:rsidR="006D7A0E" w:rsidRPr="00C422E6">
          <w:rPr>
            <w:rFonts w:ascii="標楷體" w:eastAsia="標楷體" w:hAnsi="標楷體" w:cs="標楷體"/>
            <w:noProof/>
            <w:webHidden/>
            <w:sz w:val="36"/>
            <w:szCs w:val="36"/>
          </w:rPr>
          <w:fldChar w:fldCharType="separate"/>
        </w:r>
        <w:r w:rsidR="006D7A0E">
          <w:rPr>
            <w:rFonts w:ascii="標楷體" w:eastAsia="標楷體" w:hAnsi="標楷體" w:cs="標楷體"/>
            <w:noProof/>
            <w:webHidden/>
            <w:sz w:val="36"/>
            <w:szCs w:val="36"/>
          </w:rPr>
          <w:t>11</w:t>
        </w:r>
        <w:r w:rsidR="006D7A0E" w:rsidRPr="00C422E6">
          <w:rPr>
            <w:rFonts w:ascii="標楷體" w:eastAsia="標楷體" w:hAnsi="標楷體" w:cs="標楷體"/>
            <w:noProof/>
            <w:webHidden/>
            <w:sz w:val="36"/>
            <w:szCs w:val="36"/>
          </w:rPr>
          <w:fldChar w:fldCharType="end"/>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42" w:history="1">
        <w:r w:rsidR="006D7A0E" w:rsidRPr="00C422E6">
          <w:rPr>
            <w:rStyle w:val="ac"/>
            <w:rFonts w:ascii="標楷體" w:eastAsia="標楷體" w:hAnsi="標楷體" w:cs="標楷體" w:hint="eastAsia"/>
            <w:noProof/>
            <w:sz w:val="36"/>
            <w:szCs w:val="36"/>
          </w:rPr>
          <w:t>圖</w:t>
        </w:r>
        <w:r w:rsidR="006D7A0E" w:rsidRPr="00C422E6">
          <w:rPr>
            <w:rStyle w:val="ac"/>
            <w:rFonts w:ascii="標楷體" w:eastAsia="標楷體" w:hAnsi="標楷體" w:cs="標楷體"/>
            <w:noProof/>
            <w:sz w:val="36"/>
            <w:szCs w:val="36"/>
          </w:rPr>
          <w:t>6</w:t>
        </w:r>
        <w:r w:rsidR="006D7A0E" w:rsidRPr="00C422E6">
          <w:rPr>
            <w:rStyle w:val="ac"/>
            <w:rFonts w:ascii="標楷體" w:eastAsia="標楷體" w:hAnsi="標楷體" w:cs="標楷體" w:hint="eastAsia"/>
            <w:noProof/>
            <w:sz w:val="36"/>
            <w:szCs w:val="36"/>
          </w:rPr>
          <w:t xml:space="preserve">　臺南市住宅價格指數趨勢圖</w:t>
        </w:r>
        <w:r w:rsidR="006D7A0E" w:rsidRPr="00C422E6">
          <w:rPr>
            <w:rFonts w:ascii="標楷體" w:eastAsia="標楷體" w:hAnsi="標楷體" w:cs="Times New Roman"/>
            <w:noProof/>
            <w:webHidden/>
            <w:sz w:val="36"/>
            <w:szCs w:val="36"/>
          </w:rPr>
          <w:tab/>
        </w:r>
        <w:r w:rsidR="006D7A0E">
          <w:rPr>
            <w:rFonts w:ascii="標楷體" w:eastAsia="標楷體" w:hAnsi="標楷體" w:cs="標楷體"/>
            <w:noProof/>
            <w:webHidden/>
            <w:sz w:val="36"/>
            <w:szCs w:val="36"/>
          </w:rPr>
          <w:t>11</w:t>
        </w:r>
      </w:hyperlink>
    </w:p>
    <w:p w:rsidR="006D7A0E" w:rsidRPr="00C422E6" w:rsidRDefault="00E00A16" w:rsidP="00904842">
      <w:pPr>
        <w:pStyle w:val="10"/>
        <w:spacing w:before="120"/>
        <w:ind w:firstLineChars="118" w:firstLine="283"/>
        <w:rPr>
          <w:rFonts w:ascii="標楷體" w:eastAsia="標楷體" w:hAnsi="標楷體" w:cs="Times New Roman"/>
          <w:noProof/>
          <w:sz w:val="36"/>
          <w:szCs w:val="36"/>
        </w:rPr>
      </w:pPr>
      <w:hyperlink w:anchor="_Toc444595143" w:history="1">
        <w:r w:rsidR="006D7A0E" w:rsidRPr="00C422E6">
          <w:rPr>
            <w:rStyle w:val="ac"/>
            <w:rFonts w:ascii="標楷體" w:eastAsia="標楷體" w:hAnsi="標楷體" w:cs="標楷體" w:hint="eastAsia"/>
            <w:noProof/>
            <w:sz w:val="36"/>
            <w:szCs w:val="36"/>
          </w:rPr>
          <w:t>圖</w:t>
        </w:r>
        <w:r w:rsidR="006D7A0E" w:rsidRPr="00C422E6">
          <w:rPr>
            <w:rStyle w:val="ac"/>
            <w:rFonts w:ascii="標楷體" w:eastAsia="標楷體" w:hAnsi="標楷體" w:cs="標楷體"/>
            <w:noProof/>
            <w:sz w:val="36"/>
            <w:szCs w:val="36"/>
          </w:rPr>
          <w:t>7</w:t>
        </w:r>
        <w:r w:rsidR="006D7A0E" w:rsidRPr="00C422E6">
          <w:rPr>
            <w:rStyle w:val="ac"/>
            <w:rFonts w:ascii="標楷體" w:eastAsia="標楷體" w:hAnsi="標楷體" w:cs="標楷體" w:hint="eastAsia"/>
            <w:noProof/>
            <w:sz w:val="36"/>
            <w:szCs w:val="36"/>
          </w:rPr>
          <w:t xml:space="preserve">　高雄市住宅價格指數趨勢圖</w:t>
        </w:r>
        <w:r w:rsidR="006D7A0E" w:rsidRPr="00C422E6">
          <w:rPr>
            <w:rFonts w:ascii="標楷體" w:eastAsia="標楷體" w:hAnsi="標楷體" w:cs="Times New Roman"/>
            <w:noProof/>
            <w:webHidden/>
            <w:sz w:val="36"/>
            <w:szCs w:val="36"/>
          </w:rPr>
          <w:tab/>
        </w:r>
        <w:r w:rsidR="006D7A0E" w:rsidRPr="00C422E6">
          <w:rPr>
            <w:rFonts w:ascii="標楷體" w:eastAsia="標楷體" w:hAnsi="標楷體" w:cs="標楷體"/>
            <w:noProof/>
            <w:webHidden/>
            <w:sz w:val="36"/>
            <w:szCs w:val="36"/>
          </w:rPr>
          <w:fldChar w:fldCharType="begin"/>
        </w:r>
        <w:r w:rsidR="006D7A0E" w:rsidRPr="00C422E6">
          <w:rPr>
            <w:rFonts w:ascii="標楷體" w:eastAsia="標楷體" w:hAnsi="標楷體" w:cs="標楷體"/>
            <w:noProof/>
            <w:webHidden/>
            <w:sz w:val="36"/>
            <w:szCs w:val="36"/>
          </w:rPr>
          <w:instrText xml:space="preserve"> PAGEREF _Toc444595143 \h </w:instrText>
        </w:r>
        <w:r w:rsidR="006D7A0E" w:rsidRPr="00C422E6">
          <w:rPr>
            <w:rFonts w:ascii="標楷體" w:eastAsia="標楷體" w:hAnsi="標楷體" w:cs="標楷體"/>
            <w:noProof/>
            <w:webHidden/>
            <w:sz w:val="36"/>
            <w:szCs w:val="36"/>
          </w:rPr>
        </w:r>
        <w:r w:rsidR="006D7A0E" w:rsidRPr="00C422E6">
          <w:rPr>
            <w:rFonts w:ascii="標楷體" w:eastAsia="標楷體" w:hAnsi="標楷體" w:cs="標楷體"/>
            <w:noProof/>
            <w:webHidden/>
            <w:sz w:val="36"/>
            <w:szCs w:val="36"/>
          </w:rPr>
          <w:fldChar w:fldCharType="separate"/>
        </w:r>
        <w:r w:rsidR="006D7A0E">
          <w:rPr>
            <w:rFonts w:ascii="標楷體" w:eastAsia="標楷體" w:hAnsi="標楷體" w:cs="標楷體"/>
            <w:noProof/>
            <w:webHidden/>
            <w:sz w:val="36"/>
            <w:szCs w:val="36"/>
          </w:rPr>
          <w:t>12</w:t>
        </w:r>
        <w:r w:rsidR="006D7A0E" w:rsidRPr="00C422E6">
          <w:rPr>
            <w:rFonts w:ascii="標楷體" w:eastAsia="標楷體" w:hAnsi="標楷體" w:cs="標楷體"/>
            <w:noProof/>
            <w:webHidden/>
            <w:sz w:val="36"/>
            <w:szCs w:val="36"/>
          </w:rPr>
          <w:fldChar w:fldCharType="end"/>
        </w:r>
      </w:hyperlink>
    </w:p>
    <w:p w:rsidR="006D7A0E" w:rsidRPr="00C422E6" w:rsidRDefault="00E00A16" w:rsidP="00904842">
      <w:pPr>
        <w:pStyle w:val="10"/>
        <w:spacing w:before="120"/>
        <w:rPr>
          <w:rFonts w:ascii="標楷體" w:eastAsia="標楷體" w:hAnsi="標楷體" w:cs="Times New Roman"/>
          <w:noProof/>
          <w:sz w:val="36"/>
          <w:szCs w:val="36"/>
        </w:rPr>
      </w:pPr>
      <w:hyperlink w:anchor="_Toc444595144" w:history="1">
        <w:r w:rsidR="006D7A0E" w:rsidRPr="00C422E6">
          <w:rPr>
            <w:rStyle w:val="ac"/>
            <w:rFonts w:ascii="標楷體" w:eastAsia="標楷體" w:hAnsi="標楷體" w:cs="標楷體" w:hint="eastAsia"/>
            <w:b/>
            <w:bCs/>
            <w:noProof/>
            <w:sz w:val="36"/>
            <w:szCs w:val="36"/>
          </w:rPr>
          <w:t>附錄一、住宅價格指數編製說明</w:t>
        </w:r>
        <w:r w:rsidR="006D7A0E" w:rsidRPr="00C422E6">
          <w:rPr>
            <w:rFonts w:ascii="標楷體" w:eastAsia="標楷體" w:hAnsi="標楷體" w:cs="Times New Roman"/>
            <w:noProof/>
            <w:webHidden/>
            <w:sz w:val="36"/>
            <w:szCs w:val="36"/>
          </w:rPr>
          <w:tab/>
        </w:r>
        <w:r w:rsidR="006D7A0E" w:rsidRPr="00C422E6">
          <w:rPr>
            <w:rFonts w:ascii="標楷體" w:eastAsia="標楷體" w:hAnsi="標楷體" w:cs="標楷體"/>
            <w:noProof/>
            <w:webHidden/>
            <w:sz w:val="36"/>
            <w:szCs w:val="36"/>
          </w:rPr>
          <w:t>1</w:t>
        </w:r>
        <w:r w:rsidR="006D7A0E">
          <w:rPr>
            <w:rFonts w:ascii="標楷體" w:eastAsia="標楷體" w:hAnsi="標楷體" w:cs="標楷體"/>
            <w:noProof/>
            <w:webHidden/>
            <w:sz w:val="36"/>
            <w:szCs w:val="36"/>
          </w:rPr>
          <w:t>3</w:t>
        </w:r>
      </w:hyperlink>
    </w:p>
    <w:p w:rsidR="006D7A0E" w:rsidRPr="00C422E6" w:rsidRDefault="00E00A16" w:rsidP="00904842">
      <w:pPr>
        <w:pStyle w:val="10"/>
        <w:spacing w:before="120"/>
        <w:rPr>
          <w:rFonts w:ascii="標楷體" w:eastAsia="標楷體" w:hAnsi="標楷體" w:cs="Times New Roman"/>
          <w:noProof/>
          <w:sz w:val="36"/>
          <w:szCs w:val="36"/>
        </w:rPr>
      </w:pPr>
      <w:hyperlink w:anchor="_Toc444595145" w:history="1">
        <w:r w:rsidR="006D7A0E" w:rsidRPr="00C422E6">
          <w:rPr>
            <w:rStyle w:val="ac"/>
            <w:rFonts w:ascii="標楷體" w:eastAsia="標楷體" w:hAnsi="標楷體" w:cs="標楷體" w:hint="eastAsia"/>
            <w:b/>
            <w:bCs/>
            <w:noProof/>
            <w:sz w:val="36"/>
            <w:szCs w:val="36"/>
          </w:rPr>
          <w:t>附錄</w:t>
        </w:r>
        <w:r w:rsidR="006D7A0E" w:rsidRPr="00C422E6">
          <w:rPr>
            <w:rStyle w:val="ac"/>
            <w:rFonts w:ascii="標楷體" w:eastAsia="標楷體" w:hAnsi="標楷體" w:cs="標楷體" w:hint="eastAsia"/>
            <w:noProof/>
            <w:sz w:val="36"/>
            <w:szCs w:val="36"/>
          </w:rPr>
          <w:t>二</w:t>
        </w:r>
        <w:r w:rsidR="006D7A0E" w:rsidRPr="00C422E6">
          <w:rPr>
            <w:rStyle w:val="ac"/>
            <w:rFonts w:ascii="標楷體" w:eastAsia="標楷體" w:hAnsi="標楷體" w:cs="標楷體" w:hint="eastAsia"/>
            <w:b/>
            <w:bCs/>
            <w:noProof/>
            <w:sz w:val="36"/>
            <w:szCs w:val="36"/>
          </w:rPr>
          <w:t>、標準住宅及住宅價格指數之問與答</w:t>
        </w:r>
        <w:r w:rsidR="006D7A0E" w:rsidRPr="00C422E6">
          <w:rPr>
            <w:rFonts w:ascii="標楷體" w:eastAsia="標楷體" w:hAnsi="標楷體" w:cs="Times New Roman"/>
            <w:noProof/>
            <w:webHidden/>
            <w:sz w:val="36"/>
            <w:szCs w:val="36"/>
          </w:rPr>
          <w:tab/>
        </w:r>
        <w:r w:rsidR="006D7A0E" w:rsidRPr="00C422E6">
          <w:rPr>
            <w:rFonts w:ascii="標楷體" w:eastAsia="標楷體" w:hAnsi="標楷體" w:cs="標楷體"/>
            <w:noProof/>
            <w:webHidden/>
            <w:sz w:val="36"/>
            <w:szCs w:val="36"/>
          </w:rPr>
          <w:fldChar w:fldCharType="begin"/>
        </w:r>
        <w:r w:rsidR="006D7A0E" w:rsidRPr="00C422E6">
          <w:rPr>
            <w:rFonts w:ascii="標楷體" w:eastAsia="標楷體" w:hAnsi="標楷體" w:cs="標楷體"/>
            <w:noProof/>
            <w:webHidden/>
            <w:sz w:val="36"/>
            <w:szCs w:val="36"/>
          </w:rPr>
          <w:instrText xml:space="preserve"> PAGEREF _Toc444595145 \h </w:instrText>
        </w:r>
        <w:r w:rsidR="006D7A0E" w:rsidRPr="00C422E6">
          <w:rPr>
            <w:rFonts w:ascii="標楷體" w:eastAsia="標楷體" w:hAnsi="標楷體" w:cs="標楷體"/>
            <w:noProof/>
            <w:webHidden/>
            <w:sz w:val="36"/>
            <w:szCs w:val="36"/>
          </w:rPr>
        </w:r>
        <w:r w:rsidR="006D7A0E" w:rsidRPr="00C422E6">
          <w:rPr>
            <w:rFonts w:ascii="標楷體" w:eastAsia="標楷體" w:hAnsi="標楷體" w:cs="標楷體"/>
            <w:noProof/>
            <w:webHidden/>
            <w:sz w:val="36"/>
            <w:szCs w:val="36"/>
          </w:rPr>
          <w:fldChar w:fldCharType="separate"/>
        </w:r>
        <w:r w:rsidR="006D7A0E">
          <w:rPr>
            <w:rFonts w:ascii="標楷體" w:eastAsia="標楷體" w:hAnsi="標楷體" w:cs="標楷體"/>
            <w:noProof/>
            <w:webHidden/>
            <w:sz w:val="36"/>
            <w:szCs w:val="36"/>
          </w:rPr>
          <w:t>14</w:t>
        </w:r>
        <w:r w:rsidR="006D7A0E" w:rsidRPr="00C422E6">
          <w:rPr>
            <w:rFonts w:ascii="標楷體" w:eastAsia="標楷體" w:hAnsi="標楷體" w:cs="標楷體"/>
            <w:noProof/>
            <w:webHidden/>
            <w:sz w:val="36"/>
            <w:szCs w:val="36"/>
          </w:rPr>
          <w:fldChar w:fldCharType="end"/>
        </w:r>
      </w:hyperlink>
    </w:p>
    <w:p w:rsidR="006D7A0E" w:rsidRPr="00C422E6" w:rsidRDefault="006D7A0E" w:rsidP="00904842">
      <w:pPr>
        <w:pStyle w:val="10"/>
        <w:spacing w:before="120"/>
        <w:jc w:val="both"/>
        <w:rPr>
          <w:rFonts w:ascii="標楷體" w:eastAsia="標楷體" w:hAnsi="標楷體" w:cs="Times New Roman"/>
        </w:rPr>
        <w:sectPr w:rsidR="006D7A0E" w:rsidRPr="00C422E6" w:rsidSect="002D41C5">
          <w:footerReference w:type="default" r:id="rId7"/>
          <w:pgSz w:w="11906" w:h="16838" w:code="9"/>
          <w:pgMar w:top="1304" w:right="1191" w:bottom="1304" w:left="1191" w:header="851" w:footer="851" w:gutter="0"/>
          <w:pgNumType w:start="0"/>
          <w:cols w:space="425"/>
          <w:titlePg/>
          <w:docGrid w:linePitch="360"/>
        </w:sectPr>
      </w:pPr>
      <w:r w:rsidRPr="00C422E6">
        <w:rPr>
          <w:rStyle w:val="ac"/>
          <w:rFonts w:ascii="標楷體" w:eastAsia="標楷體" w:hAnsi="標楷體" w:cs="標楷體"/>
          <w:sz w:val="36"/>
          <w:szCs w:val="36"/>
        </w:rPr>
        <w:fldChar w:fldCharType="end"/>
      </w:r>
    </w:p>
    <w:p w:rsidR="006D7A0E" w:rsidRPr="00C422E6" w:rsidRDefault="006D7A0E" w:rsidP="007F5B21">
      <w:pPr>
        <w:spacing w:beforeLines="50" w:before="120" w:afterLines="50" w:after="120"/>
        <w:jc w:val="both"/>
        <w:rPr>
          <w:rFonts w:ascii="標楷體" w:eastAsia="標楷體" w:hAnsi="標楷體" w:cs="Times New Roman"/>
          <w:b/>
          <w:bCs/>
          <w:sz w:val="40"/>
          <w:szCs w:val="40"/>
        </w:rPr>
      </w:pPr>
      <w:r w:rsidRPr="00C422E6">
        <w:rPr>
          <w:rFonts w:ascii="標楷體" w:eastAsia="標楷體" w:hAnsi="標楷體" w:cs="標楷體" w:hint="eastAsia"/>
          <w:b/>
          <w:bCs/>
          <w:sz w:val="40"/>
          <w:szCs w:val="40"/>
        </w:rPr>
        <w:lastRenderedPageBreak/>
        <w:t>住宅價格指數</w:t>
      </w:r>
    </w:p>
    <w:p w:rsidR="006D7A0E" w:rsidRPr="00C422E6" w:rsidRDefault="006D7A0E" w:rsidP="007F5B21">
      <w:pPr>
        <w:adjustRightInd w:val="0"/>
        <w:snapToGrid w:val="0"/>
        <w:spacing w:beforeLines="50" w:before="120" w:line="500" w:lineRule="atLeast"/>
        <w:jc w:val="both"/>
        <w:outlineLvl w:val="0"/>
        <w:rPr>
          <w:rFonts w:ascii="標楷體" w:eastAsia="標楷體" w:hAnsi="標楷體" w:cs="Times New Roman"/>
          <w:b/>
          <w:bCs/>
          <w:sz w:val="32"/>
          <w:szCs w:val="32"/>
        </w:rPr>
      </w:pPr>
      <w:bookmarkStart w:id="0" w:name="_Toc444595130"/>
      <w:r w:rsidRPr="00C422E6">
        <w:rPr>
          <w:rFonts w:ascii="標楷體" w:eastAsia="標楷體" w:hAnsi="標楷體" w:cs="標楷體" w:hint="eastAsia"/>
          <w:b/>
          <w:bCs/>
          <w:sz w:val="32"/>
          <w:szCs w:val="32"/>
        </w:rPr>
        <w:t>壹、前言</w:t>
      </w:r>
      <w:bookmarkEnd w:id="0"/>
    </w:p>
    <w:p w:rsidR="006D7A0E" w:rsidRPr="00E63961" w:rsidRDefault="006D7A0E" w:rsidP="007F5B21">
      <w:pPr>
        <w:adjustRightInd w:val="0"/>
        <w:snapToGrid w:val="0"/>
        <w:spacing w:beforeLines="120" w:before="288" w:line="336" w:lineRule="auto"/>
        <w:ind w:firstLineChars="200" w:firstLine="640"/>
        <w:jc w:val="both"/>
        <w:rPr>
          <w:rFonts w:ascii="標楷體" w:eastAsia="標楷體" w:hAnsi="標楷體" w:cs="Times New Roman"/>
          <w:sz w:val="32"/>
          <w:szCs w:val="32"/>
        </w:rPr>
      </w:pPr>
      <w:r w:rsidRPr="00E63961">
        <w:rPr>
          <w:rFonts w:ascii="標楷體" w:eastAsia="標楷體" w:hAnsi="標楷體" w:cs="標楷體" w:hint="eastAsia"/>
          <w:sz w:val="32"/>
          <w:szCs w:val="32"/>
        </w:rPr>
        <w:t>行政院</w:t>
      </w:r>
      <w:r w:rsidRPr="00E63961">
        <w:rPr>
          <w:rFonts w:ascii="標楷體" w:eastAsia="標楷體" w:hAnsi="標楷體" w:cs="標楷體"/>
          <w:sz w:val="32"/>
          <w:szCs w:val="32"/>
        </w:rPr>
        <w:t>100</w:t>
      </w:r>
      <w:r w:rsidRPr="00E63961">
        <w:rPr>
          <w:rFonts w:ascii="標楷體" w:eastAsia="標楷體" w:hAnsi="標楷體" w:cs="標楷體" w:hint="eastAsia"/>
          <w:sz w:val="32"/>
          <w:szCs w:val="32"/>
        </w:rPr>
        <w:t>年</w:t>
      </w:r>
      <w:r w:rsidRPr="00E63961">
        <w:rPr>
          <w:rFonts w:ascii="標楷體" w:eastAsia="標楷體" w:hAnsi="標楷體" w:cs="標楷體"/>
          <w:sz w:val="32"/>
          <w:szCs w:val="32"/>
        </w:rPr>
        <w:t>10</w:t>
      </w:r>
      <w:r w:rsidRPr="00E63961">
        <w:rPr>
          <w:rFonts w:ascii="標楷體" w:eastAsia="標楷體" w:hAnsi="標楷體" w:cs="標楷體" w:hint="eastAsia"/>
          <w:sz w:val="32"/>
          <w:szCs w:val="32"/>
        </w:rPr>
        <w:t>月</w:t>
      </w:r>
      <w:r w:rsidRPr="00E63961">
        <w:rPr>
          <w:rFonts w:ascii="標楷體" w:eastAsia="標楷體" w:hAnsi="標楷體" w:cs="標楷體"/>
          <w:sz w:val="32"/>
          <w:szCs w:val="32"/>
        </w:rPr>
        <w:t>26</w:t>
      </w:r>
      <w:r w:rsidRPr="00E63961">
        <w:rPr>
          <w:rFonts w:ascii="標楷體" w:eastAsia="標楷體" w:hAnsi="標楷體" w:cs="標楷體" w:hint="eastAsia"/>
          <w:sz w:val="32"/>
          <w:szCs w:val="32"/>
        </w:rPr>
        <w:t>日核定「民國</w:t>
      </w:r>
      <w:r w:rsidRPr="00E63961">
        <w:rPr>
          <w:rFonts w:ascii="標楷體" w:eastAsia="標楷體" w:hAnsi="標楷體" w:cs="標楷體"/>
          <w:sz w:val="32"/>
          <w:szCs w:val="32"/>
        </w:rPr>
        <w:t>101</w:t>
      </w:r>
      <w:r w:rsidRPr="00E63961">
        <w:rPr>
          <w:rFonts w:ascii="標楷體" w:eastAsia="標楷體" w:hAnsi="標楷體" w:cs="標楷體" w:hint="eastAsia"/>
          <w:sz w:val="32"/>
          <w:szCs w:val="32"/>
        </w:rPr>
        <w:t>年至民國</w:t>
      </w:r>
      <w:r w:rsidRPr="00E63961">
        <w:rPr>
          <w:rFonts w:ascii="標楷體" w:eastAsia="標楷體" w:hAnsi="標楷體" w:cs="標楷體"/>
          <w:sz w:val="32"/>
          <w:szCs w:val="32"/>
        </w:rPr>
        <w:t>104</w:t>
      </w:r>
      <w:r w:rsidRPr="00E63961">
        <w:rPr>
          <w:rFonts w:ascii="標楷體" w:eastAsia="標楷體" w:hAnsi="標楷體" w:cs="標楷體" w:hint="eastAsia"/>
          <w:sz w:val="32"/>
          <w:szCs w:val="32"/>
        </w:rPr>
        <w:t>年整體住宅政策實施方案」，以「編製住宅價格指數並定期發布」做為具體措施之一。內政部營建署以全國各直轄市、縣（市）實價登錄不動產交易價格資料，計算出住宅價格指數，提供住宅價格之變動趨勢資訊。目前編製完成全國及</w:t>
      </w:r>
      <w:r w:rsidRPr="00E63961">
        <w:rPr>
          <w:rFonts w:ascii="標楷體" w:eastAsia="標楷體" w:hAnsi="標楷體" w:cs="標楷體"/>
          <w:sz w:val="32"/>
          <w:szCs w:val="32"/>
        </w:rPr>
        <w:t>6</w:t>
      </w:r>
      <w:r w:rsidRPr="00E63961">
        <w:rPr>
          <w:rFonts w:ascii="標楷體" w:eastAsia="標楷體" w:hAnsi="標楷體" w:cs="標楷體" w:hint="eastAsia"/>
          <w:sz w:val="32"/>
          <w:szCs w:val="32"/>
        </w:rPr>
        <w:t>直轄市住宅價格指數，編製期間為</w:t>
      </w:r>
      <w:r w:rsidRPr="00E63961">
        <w:rPr>
          <w:rFonts w:ascii="標楷體" w:eastAsia="標楷體" w:hAnsi="標楷體" w:cs="標楷體"/>
          <w:sz w:val="32"/>
          <w:szCs w:val="32"/>
        </w:rPr>
        <w:t>101</w:t>
      </w:r>
      <w:r w:rsidRPr="00E63961">
        <w:rPr>
          <w:rFonts w:ascii="標楷體" w:eastAsia="標楷體" w:hAnsi="標楷體" w:cs="標楷體" w:hint="eastAsia"/>
          <w:sz w:val="32"/>
          <w:szCs w:val="32"/>
        </w:rPr>
        <w:t>年第</w:t>
      </w:r>
      <w:r>
        <w:rPr>
          <w:rFonts w:ascii="標楷體" w:eastAsia="標楷體" w:hAnsi="標楷體" w:cs="標楷體"/>
          <w:sz w:val="32"/>
          <w:szCs w:val="32"/>
        </w:rPr>
        <w:t>3</w:t>
      </w:r>
      <w:r w:rsidRPr="00E63961">
        <w:rPr>
          <w:rFonts w:ascii="標楷體" w:eastAsia="標楷體" w:hAnsi="標楷體" w:cs="標楷體" w:hint="eastAsia"/>
          <w:sz w:val="32"/>
          <w:szCs w:val="32"/>
        </w:rPr>
        <w:t>季至</w:t>
      </w:r>
      <w:r w:rsidRPr="00E63961">
        <w:rPr>
          <w:rFonts w:ascii="標楷體" w:eastAsia="標楷體" w:hAnsi="標楷體" w:cs="標楷體"/>
          <w:sz w:val="32"/>
          <w:szCs w:val="32"/>
        </w:rPr>
        <w:t>105</w:t>
      </w:r>
      <w:r w:rsidRPr="00E63961">
        <w:rPr>
          <w:rFonts w:ascii="標楷體" w:eastAsia="標楷體" w:hAnsi="標楷體" w:cs="標楷體" w:hint="eastAsia"/>
          <w:sz w:val="32"/>
          <w:szCs w:val="32"/>
        </w:rPr>
        <w:t>年第</w:t>
      </w:r>
      <w:r>
        <w:rPr>
          <w:rFonts w:ascii="標楷體" w:eastAsia="標楷體" w:hAnsi="標楷體" w:cs="標楷體"/>
          <w:sz w:val="32"/>
          <w:szCs w:val="32"/>
        </w:rPr>
        <w:t>3</w:t>
      </w:r>
      <w:r w:rsidRPr="00E63961">
        <w:rPr>
          <w:rFonts w:ascii="標楷體" w:eastAsia="標楷體" w:hAnsi="標楷體" w:cs="標楷體" w:hint="eastAsia"/>
          <w:sz w:val="32"/>
          <w:szCs w:val="32"/>
        </w:rPr>
        <w:t>季。</w:t>
      </w:r>
      <w:bookmarkStart w:id="1" w:name="_Toc444595131"/>
    </w:p>
    <w:p w:rsidR="006D7A0E" w:rsidRPr="00FD7B1E" w:rsidRDefault="006D7A0E" w:rsidP="007F5B21">
      <w:pPr>
        <w:adjustRightInd w:val="0"/>
        <w:snapToGrid w:val="0"/>
        <w:spacing w:beforeLines="50" w:before="120" w:line="500" w:lineRule="atLeast"/>
        <w:ind w:firstLineChars="200" w:firstLine="640"/>
        <w:jc w:val="both"/>
        <w:rPr>
          <w:rFonts w:ascii="標楷體" w:eastAsia="標楷體" w:hAnsi="標楷體" w:cs="Times New Roman"/>
          <w:sz w:val="32"/>
          <w:szCs w:val="32"/>
        </w:rPr>
      </w:pPr>
    </w:p>
    <w:p w:rsidR="006D7A0E" w:rsidRPr="00C422E6" w:rsidRDefault="006D7A0E" w:rsidP="007F5B21">
      <w:pPr>
        <w:adjustRightInd w:val="0"/>
        <w:snapToGrid w:val="0"/>
        <w:spacing w:beforeLines="50" w:before="120" w:line="500" w:lineRule="atLeast"/>
        <w:jc w:val="both"/>
        <w:rPr>
          <w:rFonts w:ascii="標楷體" w:eastAsia="標楷體" w:hAnsi="標楷體" w:cs="Times New Roman"/>
          <w:b/>
          <w:bCs/>
          <w:sz w:val="32"/>
          <w:szCs w:val="32"/>
        </w:rPr>
      </w:pPr>
      <w:r w:rsidRPr="00C422E6">
        <w:rPr>
          <w:rFonts w:ascii="標楷體" w:eastAsia="標楷體" w:hAnsi="標楷體" w:cs="標楷體" w:hint="eastAsia"/>
          <w:b/>
          <w:bCs/>
          <w:sz w:val="32"/>
          <w:szCs w:val="32"/>
        </w:rPr>
        <w:t>貳、住宅價格指數說明</w:t>
      </w:r>
      <w:bookmarkEnd w:id="1"/>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36" w:lineRule="auto"/>
        <w:ind w:firstLine="567"/>
        <w:rPr>
          <w:rFonts w:ascii="標楷體" w:eastAsia="標楷體" w:hAnsi="標楷體" w:cs="Times New Roman"/>
          <w:sz w:val="32"/>
          <w:szCs w:val="32"/>
        </w:rPr>
      </w:pPr>
      <w:r w:rsidRPr="00D060A7">
        <w:rPr>
          <w:rFonts w:ascii="標楷體" w:eastAsia="標楷體" w:hAnsi="標楷體" w:cs="標楷體" w:hint="eastAsia"/>
          <w:sz w:val="32"/>
          <w:szCs w:val="32"/>
        </w:rPr>
        <w:t>民國</w:t>
      </w:r>
      <w:r w:rsidRPr="00D060A7">
        <w:rPr>
          <w:rFonts w:ascii="標楷體" w:eastAsia="標楷體" w:hAnsi="標楷體" w:cs="標楷體"/>
          <w:sz w:val="32"/>
          <w:szCs w:val="32"/>
        </w:rPr>
        <w:t>105</w:t>
      </w:r>
      <w:r w:rsidRPr="00D060A7">
        <w:rPr>
          <w:rFonts w:ascii="標楷體" w:eastAsia="標楷體" w:hAnsi="標楷體" w:cs="標楷體" w:hint="eastAsia"/>
          <w:sz w:val="32"/>
          <w:szCs w:val="32"/>
          <w:lang w:val="ja-JP" w:eastAsia="ja-JP"/>
        </w:rPr>
        <w:t>年第</w:t>
      </w:r>
      <w:r>
        <w:rPr>
          <w:rFonts w:ascii="標楷體" w:eastAsia="標楷體" w:hAnsi="標楷體" w:cs="標楷體"/>
          <w:sz w:val="32"/>
          <w:szCs w:val="32"/>
        </w:rPr>
        <w:t>3</w:t>
      </w:r>
      <w:r w:rsidRPr="00D060A7">
        <w:rPr>
          <w:rFonts w:ascii="標楷體" w:eastAsia="標楷體" w:hAnsi="標楷體" w:cs="標楷體" w:hint="eastAsia"/>
          <w:sz w:val="32"/>
          <w:szCs w:val="32"/>
        </w:rPr>
        <w:t>季之全國住宅價格指數為</w:t>
      </w:r>
      <w:r w:rsidRPr="00D060A7">
        <w:rPr>
          <w:rFonts w:ascii="標楷體" w:eastAsia="標楷體" w:hAnsi="標楷體" w:cs="標楷體"/>
          <w:sz w:val="32"/>
          <w:szCs w:val="32"/>
        </w:rPr>
        <w:t>115.16</w:t>
      </w:r>
      <w:r w:rsidRPr="00D060A7">
        <w:rPr>
          <w:rFonts w:ascii="標楷體" w:eastAsia="標楷體" w:hAnsi="標楷體" w:cs="標楷體" w:hint="eastAsia"/>
          <w:sz w:val="32"/>
          <w:szCs w:val="32"/>
        </w:rPr>
        <w:t>，較上季上漲</w:t>
      </w:r>
      <w:r w:rsidRPr="00D060A7">
        <w:rPr>
          <w:rFonts w:ascii="標楷體" w:eastAsia="標楷體" w:hAnsi="標楷體" w:cs="標楷體"/>
          <w:sz w:val="32"/>
          <w:szCs w:val="32"/>
        </w:rPr>
        <w:t>0.13%</w:t>
      </w:r>
      <w:r w:rsidRPr="00D060A7">
        <w:rPr>
          <w:rFonts w:ascii="標楷體" w:eastAsia="標楷體" w:hAnsi="標楷體" w:cs="標楷體" w:hint="eastAsia"/>
          <w:sz w:val="32"/>
          <w:szCs w:val="32"/>
        </w:rPr>
        <w:t>，較去年同季上漲</w:t>
      </w:r>
      <w:r w:rsidRPr="00D060A7">
        <w:rPr>
          <w:rFonts w:ascii="標楷體" w:eastAsia="標楷體" w:hAnsi="標楷體" w:cs="標楷體"/>
          <w:sz w:val="32"/>
          <w:szCs w:val="32"/>
        </w:rPr>
        <w:t>0.66%</w:t>
      </w:r>
      <w:r w:rsidRPr="00D060A7">
        <w:rPr>
          <w:rFonts w:ascii="標楷體" w:eastAsia="標楷體" w:hAnsi="標楷體" w:cs="標楷體" w:hint="eastAsia"/>
          <w:sz w:val="32"/>
          <w:szCs w:val="32"/>
        </w:rPr>
        <w:t>。在主要都會區方面，臺北市本季住宅價格指數為</w:t>
      </w:r>
      <w:r w:rsidRPr="00D060A7">
        <w:rPr>
          <w:rFonts w:ascii="標楷體" w:eastAsia="標楷體" w:hAnsi="標楷體" w:cs="標楷體"/>
          <w:sz w:val="32"/>
          <w:szCs w:val="32"/>
        </w:rPr>
        <w:t>100.34</w:t>
      </w:r>
      <w:r w:rsidRPr="00D060A7">
        <w:rPr>
          <w:rFonts w:ascii="標楷體" w:eastAsia="標楷體" w:hAnsi="標楷體" w:cs="標楷體" w:hint="eastAsia"/>
          <w:sz w:val="32"/>
          <w:szCs w:val="32"/>
        </w:rPr>
        <w:t>，較上季下跌</w:t>
      </w:r>
      <w:r w:rsidRPr="00D060A7">
        <w:rPr>
          <w:rFonts w:ascii="標楷體" w:eastAsia="標楷體" w:hAnsi="標楷體" w:cs="標楷體"/>
          <w:sz w:val="32"/>
          <w:szCs w:val="32"/>
        </w:rPr>
        <w:t>0.07%</w:t>
      </w:r>
      <w:r w:rsidRPr="00D060A7">
        <w:rPr>
          <w:rFonts w:ascii="標楷體" w:eastAsia="標楷體" w:hAnsi="標楷體" w:cs="標楷體" w:hint="eastAsia"/>
          <w:sz w:val="32"/>
          <w:szCs w:val="32"/>
        </w:rPr>
        <w:t>；新北市指數為</w:t>
      </w:r>
      <w:r w:rsidRPr="00D060A7">
        <w:rPr>
          <w:rFonts w:ascii="標楷體" w:eastAsia="標楷體" w:hAnsi="標楷體" w:cs="標楷體"/>
          <w:sz w:val="32"/>
          <w:szCs w:val="32"/>
        </w:rPr>
        <w:t>106.90</w:t>
      </w:r>
      <w:r w:rsidRPr="00D060A7">
        <w:rPr>
          <w:rFonts w:ascii="標楷體" w:eastAsia="標楷體" w:hAnsi="標楷體" w:cs="標楷體" w:hint="eastAsia"/>
          <w:sz w:val="32"/>
          <w:szCs w:val="32"/>
        </w:rPr>
        <w:t>，較上季下跌</w:t>
      </w:r>
      <w:r w:rsidRPr="00D060A7">
        <w:rPr>
          <w:rFonts w:ascii="標楷體" w:eastAsia="標楷體" w:hAnsi="標楷體" w:cs="標楷體"/>
          <w:sz w:val="32"/>
          <w:szCs w:val="32"/>
        </w:rPr>
        <w:t>0.13%</w:t>
      </w:r>
      <w:r w:rsidRPr="00D060A7">
        <w:rPr>
          <w:rFonts w:ascii="標楷體" w:eastAsia="標楷體" w:hAnsi="標楷體" w:cs="標楷體" w:hint="eastAsia"/>
          <w:sz w:val="32"/>
          <w:szCs w:val="32"/>
        </w:rPr>
        <w:t>；桃園市指數為</w:t>
      </w:r>
      <w:r w:rsidRPr="00D060A7">
        <w:rPr>
          <w:rFonts w:ascii="標楷體" w:eastAsia="標楷體" w:hAnsi="標楷體" w:cs="標楷體"/>
          <w:sz w:val="32"/>
          <w:szCs w:val="32"/>
        </w:rPr>
        <w:t>114.72</w:t>
      </w:r>
      <w:r w:rsidRPr="00D060A7">
        <w:rPr>
          <w:rFonts w:ascii="標楷體" w:eastAsia="標楷體" w:hAnsi="標楷體" w:cs="標楷體" w:hint="eastAsia"/>
          <w:sz w:val="32"/>
          <w:szCs w:val="32"/>
        </w:rPr>
        <w:t>，較上季上漲</w:t>
      </w:r>
      <w:r w:rsidRPr="00D060A7">
        <w:rPr>
          <w:rFonts w:ascii="標楷體" w:eastAsia="標楷體" w:hAnsi="標楷體" w:cs="標楷體"/>
          <w:sz w:val="32"/>
          <w:szCs w:val="32"/>
        </w:rPr>
        <w:t>2.19%</w:t>
      </w:r>
      <w:r w:rsidRPr="00D060A7">
        <w:rPr>
          <w:rFonts w:ascii="標楷體" w:eastAsia="標楷體" w:hAnsi="標楷體" w:cs="標楷體" w:hint="eastAsia"/>
          <w:sz w:val="32"/>
          <w:szCs w:val="32"/>
        </w:rPr>
        <w:t>；臺中市指數為</w:t>
      </w:r>
      <w:r w:rsidRPr="00D060A7">
        <w:rPr>
          <w:rFonts w:ascii="標楷體" w:eastAsia="標楷體" w:hAnsi="標楷體" w:cs="標楷體"/>
          <w:sz w:val="32"/>
          <w:szCs w:val="32"/>
        </w:rPr>
        <w:t>123.92</w:t>
      </w:r>
      <w:r w:rsidRPr="00D060A7">
        <w:rPr>
          <w:rFonts w:ascii="標楷體" w:eastAsia="標楷體" w:hAnsi="標楷體" w:cs="標楷體" w:hint="eastAsia"/>
          <w:sz w:val="32"/>
          <w:szCs w:val="32"/>
        </w:rPr>
        <w:t>，較上季上漲</w:t>
      </w:r>
      <w:r w:rsidRPr="00D060A7">
        <w:rPr>
          <w:rFonts w:ascii="標楷體" w:eastAsia="標楷體" w:hAnsi="標楷體" w:cs="標楷體"/>
          <w:sz w:val="32"/>
          <w:szCs w:val="32"/>
        </w:rPr>
        <w:t>0.69%</w:t>
      </w:r>
      <w:r w:rsidRPr="00D060A7">
        <w:rPr>
          <w:rFonts w:ascii="標楷體" w:eastAsia="標楷體" w:hAnsi="標楷體" w:cs="標楷體" w:hint="eastAsia"/>
          <w:sz w:val="32"/>
          <w:szCs w:val="32"/>
        </w:rPr>
        <w:t>；臺南市指數為</w:t>
      </w:r>
      <w:r w:rsidRPr="00D060A7">
        <w:rPr>
          <w:rFonts w:ascii="標楷體" w:eastAsia="標楷體" w:hAnsi="標楷體" w:cs="標楷體"/>
          <w:sz w:val="32"/>
          <w:szCs w:val="32"/>
        </w:rPr>
        <w:t>121.38</w:t>
      </w:r>
      <w:r w:rsidRPr="00D060A7">
        <w:rPr>
          <w:rFonts w:ascii="標楷體" w:eastAsia="標楷體" w:hAnsi="標楷體" w:cs="標楷體" w:hint="eastAsia"/>
          <w:sz w:val="32"/>
          <w:szCs w:val="32"/>
        </w:rPr>
        <w:t>，較上季上漲</w:t>
      </w:r>
      <w:r w:rsidRPr="00D060A7">
        <w:rPr>
          <w:rFonts w:ascii="標楷體" w:eastAsia="標楷體" w:hAnsi="標楷體" w:cs="標楷體"/>
          <w:sz w:val="32"/>
          <w:szCs w:val="32"/>
        </w:rPr>
        <w:t>0.16%</w:t>
      </w:r>
      <w:r w:rsidRPr="00D060A7">
        <w:rPr>
          <w:rFonts w:ascii="標楷體" w:eastAsia="標楷體" w:hAnsi="標楷體" w:cs="標楷體" w:hint="eastAsia"/>
          <w:sz w:val="32"/>
          <w:szCs w:val="32"/>
        </w:rPr>
        <w:t>；高雄市指數為</w:t>
      </w:r>
      <w:r w:rsidRPr="00D060A7">
        <w:rPr>
          <w:rFonts w:ascii="標楷體" w:eastAsia="標楷體" w:hAnsi="標楷體" w:cs="標楷體"/>
          <w:sz w:val="32"/>
          <w:szCs w:val="32"/>
        </w:rPr>
        <w:t>122.58</w:t>
      </w:r>
      <w:r w:rsidRPr="00D060A7">
        <w:rPr>
          <w:rFonts w:ascii="標楷體" w:eastAsia="標楷體" w:hAnsi="標楷體" w:cs="標楷體" w:hint="eastAsia"/>
          <w:sz w:val="32"/>
          <w:szCs w:val="32"/>
        </w:rPr>
        <w:t>，較上季上漲</w:t>
      </w:r>
      <w:r w:rsidRPr="00D060A7">
        <w:rPr>
          <w:rFonts w:ascii="標楷體" w:eastAsia="標楷體" w:hAnsi="標楷體" w:cs="標楷體"/>
          <w:sz w:val="32"/>
          <w:szCs w:val="32"/>
        </w:rPr>
        <w:t>1.02%</w:t>
      </w:r>
      <w:r w:rsidRPr="00D060A7">
        <w:rPr>
          <w:rFonts w:ascii="標楷體" w:eastAsia="標楷體" w:hAnsi="標楷體" w:cs="標楷體" w:hint="eastAsia"/>
          <w:sz w:val="32"/>
          <w:szCs w:val="32"/>
        </w:rPr>
        <w:t>。</w:t>
      </w:r>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36" w:lineRule="auto"/>
        <w:ind w:firstLine="567"/>
        <w:rPr>
          <w:rFonts w:ascii="標楷體" w:eastAsia="標楷體" w:hAnsi="標楷體" w:cs="Times New Roman"/>
          <w:sz w:val="32"/>
          <w:szCs w:val="32"/>
        </w:rPr>
      </w:pPr>
      <w:r w:rsidRPr="00D060A7">
        <w:rPr>
          <w:rFonts w:ascii="標楷體" w:eastAsia="標楷體" w:hAnsi="標楷體" w:cs="標楷體" w:hint="eastAsia"/>
          <w:sz w:val="32"/>
          <w:szCs w:val="32"/>
        </w:rPr>
        <w:t>綜合而言，本季全國及六都之住宅價格指數多數出現上漲跡象，但臺北市及新北市指數仍呈現下跌</w:t>
      </w:r>
      <w:r w:rsidRPr="00D060A7">
        <w:rPr>
          <w:rFonts w:ascii="標楷體" w:eastAsia="標楷體" w:hAnsi="標楷體" w:cs="標楷體" w:hint="eastAsia"/>
          <w:sz w:val="32"/>
          <w:szCs w:val="32"/>
          <w:lang w:val="ja-JP" w:eastAsia="ja-JP"/>
        </w:rPr>
        <w:t>；六都中以</w:t>
      </w:r>
      <w:r w:rsidRPr="00D060A7">
        <w:rPr>
          <w:rFonts w:ascii="標楷體" w:eastAsia="標楷體" w:hAnsi="標楷體" w:cs="標楷體" w:hint="eastAsia"/>
          <w:sz w:val="32"/>
          <w:szCs w:val="32"/>
        </w:rPr>
        <w:t>桃園市指數較上季上漲</w:t>
      </w:r>
      <w:r w:rsidRPr="00D060A7">
        <w:rPr>
          <w:rFonts w:ascii="標楷體" w:eastAsia="標楷體" w:hAnsi="標楷體" w:cs="標楷體"/>
          <w:sz w:val="32"/>
          <w:szCs w:val="32"/>
        </w:rPr>
        <w:t>2.19%</w:t>
      </w:r>
      <w:r w:rsidRPr="00D060A7">
        <w:rPr>
          <w:rFonts w:ascii="標楷體" w:eastAsia="標楷體" w:hAnsi="標楷體" w:cs="標楷體" w:hint="eastAsia"/>
          <w:sz w:val="32"/>
          <w:szCs w:val="32"/>
        </w:rPr>
        <w:t>較多，綜合來看，本季雖全國指數出現房價回升跡象，但幅度甚小且未突破過去</w:t>
      </w:r>
      <w:r w:rsidRPr="00D060A7">
        <w:rPr>
          <w:rFonts w:ascii="標楷體" w:eastAsia="標楷體" w:hAnsi="標楷體" w:cs="標楷體"/>
          <w:sz w:val="32"/>
          <w:szCs w:val="32"/>
        </w:rPr>
        <w:t>104</w:t>
      </w:r>
      <w:r w:rsidRPr="00D060A7">
        <w:rPr>
          <w:rFonts w:ascii="標楷體" w:eastAsia="標楷體" w:hAnsi="標楷體" w:cs="標楷體" w:hint="eastAsia"/>
          <w:sz w:val="32"/>
          <w:szCs w:val="32"/>
        </w:rPr>
        <w:t>年第</w:t>
      </w:r>
      <w:r>
        <w:rPr>
          <w:rFonts w:ascii="標楷體" w:eastAsia="標楷體" w:hAnsi="標楷體" w:cs="標楷體"/>
          <w:sz w:val="32"/>
          <w:szCs w:val="32"/>
        </w:rPr>
        <w:t>1</w:t>
      </w:r>
      <w:r w:rsidRPr="00D060A7">
        <w:rPr>
          <w:rFonts w:ascii="標楷體" w:eastAsia="標楷體" w:hAnsi="標楷體" w:cs="標楷體" w:hint="eastAsia"/>
          <w:sz w:val="32"/>
          <w:szCs w:val="32"/>
        </w:rPr>
        <w:t>季之高點；從六都來看，雙北市持續下跌，其他四個都會區則呈現回升，但多數仍未超過前波價格高點，由於今年第</w:t>
      </w:r>
      <w:r>
        <w:rPr>
          <w:rFonts w:ascii="標楷體" w:eastAsia="標楷體" w:hAnsi="標楷體" w:cs="標楷體"/>
          <w:sz w:val="32"/>
          <w:szCs w:val="32"/>
        </w:rPr>
        <w:t>2</w:t>
      </w:r>
      <w:r w:rsidRPr="00D060A7">
        <w:rPr>
          <w:rFonts w:ascii="標楷體" w:eastAsia="標楷體" w:hAnsi="標楷體" w:cs="標楷體" w:hint="eastAsia"/>
          <w:sz w:val="32"/>
          <w:szCs w:val="32"/>
        </w:rPr>
        <w:t>季的交易量已迅速回穩，第</w:t>
      </w:r>
      <w:r>
        <w:rPr>
          <w:rFonts w:ascii="標楷體" w:eastAsia="標楷體" w:hAnsi="標楷體" w:cs="標楷體"/>
          <w:sz w:val="32"/>
          <w:szCs w:val="32"/>
        </w:rPr>
        <w:t>3</w:t>
      </w:r>
      <w:r w:rsidRPr="00D060A7">
        <w:rPr>
          <w:rFonts w:ascii="標楷體" w:eastAsia="標楷體" w:hAnsi="標楷體" w:cs="標楷體" w:hint="eastAsia"/>
          <w:sz w:val="32"/>
          <w:szCs w:val="32"/>
        </w:rPr>
        <w:t>季的交易量持續增加，且交易量較前一年同期更高，因此本季價格的回升可視為前波下跌後的反</w:t>
      </w:r>
      <w:r w:rsidRPr="00D060A7">
        <w:rPr>
          <w:rFonts w:ascii="標楷體" w:eastAsia="標楷體" w:hAnsi="標楷體" w:cs="標楷體" w:hint="eastAsia"/>
          <w:sz w:val="32"/>
          <w:szCs w:val="32"/>
        </w:rPr>
        <w:lastRenderedPageBreak/>
        <w:t>彈整理。</w:t>
      </w:r>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36" w:lineRule="auto"/>
        <w:ind w:firstLine="567"/>
        <w:rPr>
          <w:rFonts w:ascii="標楷體" w:eastAsia="標楷體" w:hAnsi="標楷體" w:cs="Times New Roman"/>
          <w:sz w:val="32"/>
          <w:szCs w:val="32"/>
        </w:rPr>
      </w:pPr>
      <w:r w:rsidRPr="00D060A7">
        <w:rPr>
          <w:rFonts w:ascii="標楷體" w:eastAsia="標楷體" w:hAnsi="標楷體" w:cs="標楷體" w:hint="eastAsia"/>
          <w:sz w:val="32"/>
          <w:szCs w:val="32"/>
        </w:rPr>
        <w:t>從趨勢面來看，第</w:t>
      </w:r>
      <w:r>
        <w:rPr>
          <w:rFonts w:ascii="標楷體" w:eastAsia="標楷體" w:hAnsi="標楷體" w:cs="標楷體"/>
          <w:sz w:val="32"/>
          <w:szCs w:val="32"/>
        </w:rPr>
        <w:t>3</w:t>
      </w:r>
      <w:r w:rsidRPr="00D060A7">
        <w:rPr>
          <w:rFonts w:ascii="標楷體" w:eastAsia="標楷體" w:hAnsi="標楷體" w:cs="標楷體" w:hint="eastAsia"/>
          <w:sz w:val="32"/>
          <w:szCs w:val="32"/>
        </w:rPr>
        <w:t>季住宅價格指數之上漲縣市多數仍未突破前波高點，臺北市及新北市的住宅價格仍維持下滑趨勢，房價向下盤跌的格局仍然不變，桃園市、臺中市、臺南市等都會區之本季指數雖有回升，但仍低於過去高點，相對於雙北市而言，屬於整理格局，但趨勢上仍維持向下；惟高雄市本季指數上升且突破前波高點，房價較具支撐；但綜觀過去幾季走勢，房價修正的趨勢仍有從雙北市向南蔓延的跡象，值得持續注意。</w:t>
      </w:r>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36" w:lineRule="auto"/>
        <w:ind w:firstLine="567"/>
        <w:rPr>
          <w:rFonts w:ascii="標楷體" w:eastAsia="標楷體" w:hAnsi="標楷體" w:cs="Times New Roman"/>
          <w:sz w:val="32"/>
          <w:szCs w:val="32"/>
        </w:rPr>
      </w:pPr>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36" w:lineRule="auto"/>
        <w:ind w:firstLine="567"/>
        <w:rPr>
          <w:rFonts w:ascii="標楷體" w:eastAsia="標楷體" w:hAnsi="標楷體" w:cs="Times New Roman"/>
          <w:sz w:val="32"/>
          <w:szCs w:val="32"/>
        </w:rPr>
      </w:pPr>
      <w:r w:rsidRPr="00D060A7">
        <w:rPr>
          <w:rFonts w:ascii="標楷體" w:eastAsia="標楷體" w:hAnsi="標楷體" w:cs="標楷體" w:hint="eastAsia"/>
          <w:sz w:val="32"/>
          <w:szCs w:val="32"/>
        </w:rPr>
        <w:t>就總體指標及房市相關因素來看，大致上可以整理為以下幾項：</w:t>
      </w:r>
    </w:p>
    <w:p w:rsidR="006D7A0E" w:rsidRPr="00D060A7" w:rsidRDefault="006D7A0E" w:rsidP="00CE73DE">
      <w:pPr>
        <w:widowControl/>
        <w:numPr>
          <w:ilvl w:val="0"/>
          <w:numId w:val="21"/>
        </w:numPr>
        <w:spacing w:line="360" w:lineRule="auto"/>
        <w:rPr>
          <w:rFonts w:ascii="標楷體" w:eastAsia="標楷體" w:hAnsi="標楷體" w:cs="Times New Roman"/>
          <w:sz w:val="32"/>
          <w:szCs w:val="32"/>
        </w:rPr>
      </w:pPr>
      <w:r w:rsidRPr="00D060A7">
        <w:rPr>
          <w:rFonts w:ascii="標楷體" w:eastAsia="標楷體" w:hAnsi="標楷體" w:cs="標楷體" w:hint="eastAsia"/>
          <w:sz w:val="32"/>
          <w:szCs w:val="32"/>
        </w:rPr>
        <w:t>經濟緩步復甦成長但仍有不確定性</w:t>
      </w:r>
    </w:p>
    <w:p w:rsidR="006D7A0E" w:rsidRPr="00D060A7" w:rsidRDefault="006D7A0E" w:rsidP="00CE73DE">
      <w:pPr>
        <w:widowControl/>
        <w:spacing w:line="360" w:lineRule="auto"/>
        <w:ind w:leftChars="150" w:left="360"/>
        <w:jc w:val="both"/>
        <w:rPr>
          <w:rFonts w:ascii="標楷體" w:eastAsia="標楷體" w:hAnsi="標楷體" w:cs="Times New Roman"/>
          <w:sz w:val="32"/>
          <w:szCs w:val="32"/>
        </w:rPr>
      </w:pPr>
      <w:r w:rsidRPr="00D060A7">
        <w:rPr>
          <w:rFonts w:ascii="標楷體" w:eastAsia="標楷體" w:hAnsi="標楷體" w:cs="標楷體"/>
          <w:sz w:val="32"/>
          <w:szCs w:val="32"/>
        </w:rPr>
        <w:t xml:space="preserve">    </w:t>
      </w:r>
      <w:r w:rsidRPr="00D060A7">
        <w:rPr>
          <w:rFonts w:ascii="標楷體" w:eastAsia="標楷體" w:hAnsi="標楷體" w:cs="標楷體" w:hint="eastAsia"/>
          <w:sz w:val="32"/>
          <w:szCs w:val="32"/>
        </w:rPr>
        <w:t>按行政院主計總處的統計</w:t>
      </w:r>
      <w:r w:rsidRPr="00D060A7">
        <w:rPr>
          <w:rFonts w:ascii="標楷體" w:eastAsia="標楷體" w:hAnsi="標楷體" w:cs="標楷體"/>
          <w:sz w:val="32"/>
          <w:szCs w:val="32"/>
        </w:rPr>
        <w:t>(</w:t>
      </w:r>
      <w:r>
        <w:rPr>
          <w:rFonts w:ascii="標楷體" w:eastAsia="標楷體" w:hAnsi="標楷體" w:cs="標楷體" w:hint="eastAsia"/>
          <w:sz w:val="32"/>
          <w:szCs w:val="32"/>
        </w:rPr>
        <w:t>詳下</w:t>
      </w:r>
      <w:r w:rsidRPr="00D060A7">
        <w:rPr>
          <w:rFonts w:ascii="標楷體" w:eastAsia="標楷體" w:hAnsi="標楷體" w:cs="標楷體" w:hint="eastAsia"/>
          <w:sz w:val="32"/>
          <w:szCs w:val="32"/>
        </w:rPr>
        <w:t>圖</w:t>
      </w:r>
      <w:r w:rsidRPr="00D060A7">
        <w:rPr>
          <w:rFonts w:ascii="標楷體" w:eastAsia="標楷體" w:hAnsi="標楷體" w:cs="標楷體"/>
          <w:sz w:val="32"/>
          <w:szCs w:val="32"/>
        </w:rPr>
        <w:t>)</w:t>
      </w:r>
      <w:r w:rsidRPr="00D060A7">
        <w:rPr>
          <w:rFonts w:ascii="標楷體" w:eastAsia="標楷體" w:hAnsi="標楷體" w:cs="標楷體" w:hint="eastAsia"/>
          <w:sz w:val="32"/>
          <w:szCs w:val="32"/>
        </w:rPr>
        <w:t>，我國的經濟成長率民國</w:t>
      </w:r>
      <w:r w:rsidRPr="00D060A7">
        <w:rPr>
          <w:rFonts w:ascii="標楷體" w:eastAsia="標楷體" w:hAnsi="標楷體" w:cs="標楷體"/>
          <w:sz w:val="32"/>
          <w:szCs w:val="32"/>
        </w:rPr>
        <w:t>104</w:t>
      </w:r>
      <w:r w:rsidRPr="00D060A7">
        <w:rPr>
          <w:rFonts w:ascii="標楷體" w:eastAsia="標楷體" w:hAnsi="標楷體" w:cs="標楷體" w:hint="eastAsia"/>
          <w:sz w:val="32"/>
          <w:szCs w:val="32"/>
        </w:rPr>
        <w:t>年為</w:t>
      </w:r>
      <w:r w:rsidRPr="00D060A7">
        <w:rPr>
          <w:rFonts w:ascii="標楷體" w:eastAsia="標楷體" w:hAnsi="標楷體" w:cs="標楷體"/>
          <w:sz w:val="32"/>
          <w:szCs w:val="32"/>
        </w:rPr>
        <w:t>0.72%</w:t>
      </w:r>
      <w:r w:rsidRPr="00D060A7">
        <w:rPr>
          <w:rFonts w:ascii="標楷體" w:eastAsia="標楷體" w:hAnsi="標楷體" w:cs="標楷體" w:hint="eastAsia"/>
          <w:sz w:val="32"/>
          <w:szCs w:val="32"/>
        </w:rPr>
        <w:t>，民國</w:t>
      </w:r>
      <w:r w:rsidRPr="00D060A7">
        <w:rPr>
          <w:rFonts w:ascii="標楷體" w:eastAsia="標楷體" w:hAnsi="標楷體" w:cs="標楷體"/>
          <w:sz w:val="32"/>
          <w:szCs w:val="32"/>
        </w:rPr>
        <w:t>105</w:t>
      </w:r>
      <w:r w:rsidRPr="00D060A7">
        <w:rPr>
          <w:rFonts w:ascii="標楷體" w:eastAsia="標楷體" w:hAnsi="標楷體" w:cs="標楷體" w:hint="eastAsia"/>
          <w:sz w:val="32"/>
          <w:szCs w:val="32"/>
        </w:rPr>
        <w:t>年為</w:t>
      </w:r>
      <w:r w:rsidRPr="00D060A7">
        <w:rPr>
          <w:rFonts w:ascii="標楷體" w:eastAsia="標楷體" w:hAnsi="標楷體" w:cs="標楷體"/>
          <w:sz w:val="32"/>
          <w:szCs w:val="32"/>
        </w:rPr>
        <w:t>1.50%</w:t>
      </w:r>
      <w:r w:rsidRPr="00D060A7">
        <w:rPr>
          <w:rFonts w:ascii="標楷體" w:eastAsia="標楷體" w:hAnsi="標楷體" w:cs="標楷體" w:hint="eastAsia"/>
          <w:sz w:val="32"/>
          <w:szCs w:val="32"/>
        </w:rPr>
        <w:t>，預估</w:t>
      </w:r>
      <w:r w:rsidRPr="00D060A7">
        <w:rPr>
          <w:rFonts w:ascii="標楷體" w:eastAsia="標楷體" w:hAnsi="標楷體" w:cs="標楷體"/>
          <w:sz w:val="32"/>
          <w:szCs w:val="32"/>
        </w:rPr>
        <w:t>106</w:t>
      </w:r>
      <w:r w:rsidRPr="00D060A7">
        <w:rPr>
          <w:rFonts w:ascii="標楷體" w:eastAsia="標楷體" w:hAnsi="標楷體" w:cs="標楷體" w:hint="eastAsia"/>
          <w:sz w:val="32"/>
          <w:szCs w:val="32"/>
        </w:rPr>
        <w:t>年為</w:t>
      </w:r>
      <w:r w:rsidRPr="00D060A7">
        <w:rPr>
          <w:rFonts w:ascii="標楷體" w:eastAsia="標楷體" w:hAnsi="標楷體" w:cs="標楷體"/>
          <w:sz w:val="32"/>
          <w:szCs w:val="32"/>
        </w:rPr>
        <w:t>1.92%</w:t>
      </w:r>
      <w:r w:rsidRPr="00D060A7">
        <w:rPr>
          <w:rFonts w:ascii="標楷體" w:eastAsia="標楷體" w:hAnsi="標楷體" w:cs="標楷體" w:hint="eastAsia"/>
          <w:sz w:val="32"/>
          <w:szCs w:val="32"/>
        </w:rPr>
        <w:t>，總體經濟在歷經民國</w:t>
      </w:r>
      <w:r w:rsidRPr="00D060A7">
        <w:rPr>
          <w:rFonts w:ascii="標楷體" w:eastAsia="標楷體" w:hAnsi="標楷體" w:cs="標楷體"/>
          <w:sz w:val="32"/>
          <w:szCs w:val="32"/>
        </w:rPr>
        <w:t>104</w:t>
      </w:r>
      <w:r w:rsidRPr="00D060A7">
        <w:rPr>
          <w:rFonts w:ascii="標楷體" w:eastAsia="標楷體" w:hAnsi="標楷體" w:cs="標楷體" w:hint="eastAsia"/>
          <w:sz w:val="32"/>
          <w:szCs w:val="32"/>
        </w:rPr>
        <w:t>年的衰退後，近二年呈現明顯緩步復甦跡象，展望未來，受限川普經濟、</w:t>
      </w:r>
      <w:r>
        <w:rPr>
          <w:rFonts w:ascii="標楷體" w:eastAsia="標楷體" w:hAnsi="標楷體" w:cs="標楷體" w:hint="eastAsia"/>
          <w:sz w:val="32"/>
          <w:szCs w:val="32"/>
        </w:rPr>
        <w:t>兩</w:t>
      </w:r>
      <w:r w:rsidRPr="00D060A7">
        <w:rPr>
          <w:rFonts w:ascii="標楷體" w:eastAsia="標楷體" w:hAnsi="標楷體" w:cs="標楷體" w:hint="eastAsia"/>
          <w:sz w:val="32"/>
          <w:szCs w:val="32"/>
        </w:rPr>
        <w:t>岸現況及連帶的經濟結構調整、政府擴大投資成效、與國際原油及原物料價格趨勢等因素，未來的三到五年內仍有相當的不確定性；整體而言，我國的經濟預估將呈現審慎小幅穩定復甦的趨勢；從購屋負擔來看，</w:t>
      </w:r>
      <w:r w:rsidRPr="00D060A7">
        <w:rPr>
          <w:rFonts w:ascii="標楷體" w:eastAsia="標楷體" w:hAnsi="標楷體" w:cs="標楷體"/>
          <w:sz w:val="32"/>
          <w:szCs w:val="32"/>
        </w:rPr>
        <w:t>105</w:t>
      </w:r>
      <w:r w:rsidRPr="00D060A7">
        <w:rPr>
          <w:rFonts w:ascii="標楷體" w:eastAsia="標楷體" w:hAnsi="標楷體" w:cs="標楷體" w:hint="eastAsia"/>
          <w:sz w:val="32"/>
          <w:szCs w:val="32"/>
          <w:lang w:val="ja-JP" w:eastAsia="ja-JP"/>
        </w:rPr>
        <w:t>年第</w:t>
      </w:r>
      <w:r>
        <w:rPr>
          <w:rFonts w:ascii="標楷體" w:eastAsia="標楷體" w:hAnsi="標楷體" w:cs="標楷體"/>
          <w:sz w:val="32"/>
          <w:szCs w:val="32"/>
          <w:lang w:val="ja-JP"/>
        </w:rPr>
        <w:t>2</w:t>
      </w:r>
      <w:r w:rsidRPr="00D060A7">
        <w:rPr>
          <w:rFonts w:ascii="標楷體" w:eastAsia="標楷體" w:hAnsi="標楷體" w:cs="標楷體" w:hint="eastAsia"/>
          <w:sz w:val="32"/>
          <w:szCs w:val="32"/>
        </w:rPr>
        <w:t>季的全國房價年所得比為</w:t>
      </w:r>
      <w:r w:rsidRPr="00D060A7">
        <w:rPr>
          <w:rFonts w:ascii="標楷體" w:eastAsia="標楷體" w:hAnsi="標楷體" w:cs="標楷體"/>
          <w:sz w:val="32"/>
          <w:szCs w:val="32"/>
        </w:rPr>
        <w:t>8.97</w:t>
      </w:r>
      <w:r w:rsidRPr="00D060A7">
        <w:rPr>
          <w:rFonts w:ascii="標楷體" w:eastAsia="標楷體" w:hAnsi="標楷體" w:cs="標楷體" w:hint="eastAsia"/>
          <w:sz w:val="32"/>
          <w:szCs w:val="32"/>
        </w:rPr>
        <w:t>，臺北市則為</w:t>
      </w:r>
      <w:r w:rsidRPr="00D060A7">
        <w:rPr>
          <w:rFonts w:ascii="標楷體" w:eastAsia="標楷體" w:hAnsi="標楷體" w:cs="標楷體"/>
          <w:sz w:val="32"/>
          <w:szCs w:val="32"/>
        </w:rPr>
        <w:t>15.07</w:t>
      </w:r>
      <w:r w:rsidRPr="00D060A7">
        <w:rPr>
          <w:rFonts w:ascii="標楷體" w:eastAsia="標楷體" w:hAnsi="標楷體" w:cs="標楷體" w:hint="eastAsia"/>
          <w:sz w:val="32"/>
          <w:szCs w:val="32"/>
        </w:rPr>
        <w:t>，均有微幅增加跡象，顯示雖然經濟仍持續小幅增長，但消費者的購屋能力仍然有限，購屋負擔仍然偏高；在交易量方面，</w:t>
      </w:r>
      <w:r w:rsidRPr="00D060A7">
        <w:rPr>
          <w:rFonts w:ascii="標楷體" w:eastAsia="標楷體" w:hAnsi="標楷體" w:cs="標楷體"/>
          <w:sz w:val="32"/>
          <w:szCs w:val="32"/>
        </w:rPr>
        <w:t>105</w:t>
      </w:r>
      <w:r w:rsidRPr="00D060A7">
        <w:rPr>
          <w:rFonts w:ascii="標楷體" w:eastAsia="標楷體" w:hAnsi="標楷體" w:cs="標楷體" w:hint="eastAsia"/>
          <w:sz w:val="32"/>
          <w:szCs w:val="32"/>
        </w:rPr>
        <w:t>年全年的全國建物交易量較</w:t>
      </w:r>
      <w:r w:rsidRPr="00D060A7">
        <w:rPr>
          <w:rFonts w:ascii="標楷體" w:eastAsia="標楷體" w:hAnsi="標楷體" w:cs="標楷體"/>
          <w:sz w:val="32"/>
          <w:szCs w:val="32"/>
        </w:rPr>
        <w:t>104</w:t>
      </w:r>
      <w:r w:rsidRPr="00D060A7">
        <w:rPr>
          <w:rFonts w:ascii="標楷體" w:eastAsia="標楷體" w:hAnsi="標楷體" w:cs="標楷體" w:hint="eastAsia"/>
          <w:sz w:val="32"/>
          <w:szCs w:val="32"/>
        </w:rPr>
        <w:t>年同期大幅萎縮了近</w:t>
      </w:r>
      <w:r w:rsidRPr="00D060A7">
        <w:rPr>
          <w:rFonts w:ascii="標楷體" w:eastAsia="標楷體" w:hAnsi="標楷體" w:cs="標楷體"/>
          <w:sz w:val="32"/>
          <w:szCs w:val="32"/>
        </w:rPr>
        <w:t>16.1%</w:t>
      </w:r>
      <w:r w:rsidRPr="00D060A7">
        <w:rPr>
          <w:rFonts w:ascii="標楷體" w:eastAsia="標楷體" w:hAnsi="標楷體" w:cs="標楷體" w:hint="eastAsia"/>
          <w:sz w:val="32"/>
          <w:szCs w:val="32"/>
        </w:rPr>
        <w:t>，是過去</w:t>
      </w:r>
      <w:r w:rsidRPr="00D060A7">
        <w:rPr>
          <w:rFonts w:ascii="標楷體" w:eastAsia="標楷體" w:hAnsi="標楷體" w:cs="標楷體"/>
          <w:sz w:val="32"/>
          <w:szCs w:val="32"/>
        </w:rPr>
        <w:t>30</w:t>
      </w:r>
      <w:r w:rsidRPr="00D060A7">
        <w:rPr>
          <w:rFonts w:ascii="標楷體" w:eastAsia="標楷體" w:hAnsi="標楷體" w:cs="標楷體" w:hint="eastAsia"/>
          <w:sz w:val="32"/>
          <w:szCs w:val="32"/>
        </w:rPr>
        <w:t>年來的新低，且較先前的</w:t>
      </w:r>
      <w:r w:rsidRPr="00D060A7">
        <w:rPr>
          <w:rFonts w:ascii="標楷體" w:eastAsia="標楷體" w:hAnsi="標楷體" w:cs="標楷體" w:hint="eastAsia"/>
          <w:sz w:val="32"/>
          <w:szCs w:val="32"/>
        </w:rPr>
        <w:lastRenderedPageBreak/>
        <w:t>預估值更低，顯示在價格整理的過程中，交易量已經先一步反映市場景氣的反轉，預料交易量的快速萎縮可能會促使房價持續盤跌。</w:t>
      </w:r>
    </w:p>
    <w:p w:rsidR="006D7A0E" w:rsidRPr="00D060A7" w:rsidRDefault="00E00A16"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454"/>
        <w:rPr>
          <w:rFonts w:ascii="標楷體" w:eastAsia="標楷體" w:hAnsi="標楷體" w:cs="Times New Roman"/>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2pt;margin-top:45pt;width:487.2pt;height:297.55pt;z-index:8;visibility:visible;mso-wrap-distance-left:12pt;mso-wrap-distance-top:12pt;mso-wrap-distance-right:12pt;mso-wrap-distance-bottom:12pt;mso-position-horizontal-relative:margin;mso-position-vertical-relative:line" wrapcoords="-33 0 -33 21546 21600 21546 21600 0 -33 0" strokeweight="1pt">
            <v:stroke miterlimit="4"/>
            <v:imagedata r:id="rId8" o:title=""/>
            <w10:wrap type="through" anchorx="margin"/>
          </v:shape>
        </w:pict>
      </w:r>
      <w:r w:rsidR="006D7A0E">
        <w:rPr>
          <w:rFonts w:ascii="標楷體" w:eastAsia="標楷體" w:hAnsi="標楷體" w:cs="標楷體" w:hint="eastAsia"/>
          <w:b/>
          <w:bCs/>
          <w:sz w:val="32"/>
          <w:szCs w:val="32"/>
        </w:rPr>
        <w:t>（</w:t>
      </w:r>
      <w:r w:rsidR="006D7A0E" w:rsidRPr="00D060A7">
        <w:rPr>
          <w:rFonts w:ascii="標楷體" w:eastAsia="標楷體" w:hAnsi="標楷體" w:cs="標楷體" w:hint="eastAsia"/>
          <w:b/>
          <w:bCs/>
          <w:sz w:val="32"/>
          <w:szCs w:val="32"/>
        </w:rPr>
        <w:t>圖</w:t>
      </w:r>
      <w:r w:rsidR="006D7A0E">
        <w:rPr>
          <w:rFonts w:ascii="標楷體" w:eastAsia="標楷體" w:hAnsi="標楷體" w:cs="標楷體" w:hint="eastAsia"/>
          <w:b/>
          <w:bCs/>
          <w:sz w:val="32"/>
          <w:szCs w:val="32"/>
        </w:rPr>
        <w:t>）</w:t>
      </w:r>
      <w:r w:rsidR="006D7A0E" w:rsidRPr="00D060A7">
        <w:rPr>
          <w:rFonts w:ascii="標楷體" w:eastAsia="標楷體" w:hAnsi="標楷體" w:cs="標楷體"/>
          <w:sz w:val="32"/>
          <w:szCs w:val="32"/>
        </w:rPr>
        <w:t xml:space="preserve">   </w:t>
      </w:r>
      <w:r w:rsidR="006D7A0E">
        <w:rPr>
          <w:rFonts w:ascii="Helvetica" w:hAnsi="Helvetica" w:cs="Helvetica"/>
        </w:rPr>
        <w:t xml:space="preserve">        </w:t>
      </w:r>
      <w:r w:rsidR="006D7A0E" w:rsidRPr="00D060A7">
        <w:rPr>
          <w:rFonts w:ascii="標楷體" w:eastAsia="標楷體" w:hAnsi="標楷體" w:cs="標楷體"/>
          <w:b/>
          <w:bCs/>
          <w:sz w:val="32"/>
          <w:szCs w:val="32"/>
        </w:rPr>
        <w:t xml:space="preserve"> </w:t>
      </w:r>
      <w:r w:rsidR="006D7A0E">
        <w:rPr>
          <w:rFonts w:ascii="標楷體" w:eastAsia="標楷體" w:hAnsi="標楷體" w:cs="標楷體"/>
          <w:b/>
          <w:bCs/>
          <w:sz w:val="32"/>
          <w:szCs w:val="32"/>
        </w:rPr>
        <w:t xml:space="preserve">  </w:t>
      </w:r>
      <w:r w:rsidR="006D7A0E" w:rsidRPr="00D060A7">
        <w:rPr>
          <w:rFonts w:ascii="標楷體" w:eastAsia="標楷體" w:hAnsi="標楷體" w:cs="標楷體" w:hint="eastAsia"/>
          <w:b/>
          <w:bCs/>
          <w:sz w:val="32"/>
          <w:szCs w:val="32"/>
        </w:rPr>
        <w:t>我國經濟成長率趨勢圖</w:t>
      </w:r>
    </w:p>
    <w:p w:rsidR="006D7A0E"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標楷體" w:eastAsia="標楷體" w:hAnsi="標楷體" w:cs="Times New Roman"/>
          <w:sz w:val="28"/>
          <w:szCs w:val="28"/>
        </w:rPr>
      </w:pPr>
      <w:r w:rsidRPr="00D060A7">
        <w:rPr>
          <w:rFonts w:ascii="標楷體" w:eastAsia="標楷體" w:hAnsi="標楷體" w:cs="標楷體" w:hint="eastAsia"/>
          <w:sz w:val="28"/>
          <w:szCs w:val="28"/>
        </w:rPr>
        <w:t>資料來源：行政院主計總處</w:t>
      </w:r>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標楷體" w:eastAsia="標楷體" w:hAnsi="標楷體" w:cs="Times New Roman"/>
          <w:sz w:val="28"/>
          <w:szCs w:val="28"/>
        </w:rPr>
      </w:pPr>
    </w:p>
    <w:p w:rsidR="006D7A0E" w:rsidRPr="00D060A7" w:rsidRDefault="006D7A0E" w:rsidP="00CE73DE">
      <w:pPr>
        <w:widowControl/>
        <w:spacing w:before="440" w:line="360" w:lineRule="auto"/>
        <w:rPr>
          <w:rFonts w:ascii="標楷體" w:eastAsia="標楷體" w:hAnsi="標楷體" w:cs="Times New Roman"/>
          <w:sz w:val="32"/>
          <w:szCs w:val="32"/>
        </w:rPr>
      </w:pPr>
      <w:r w:rsidRPr="00D060A7">
        <w:rPr>
          <w:rFonts w:ascii="標楷體" w:eastAsia="標楷體" w:hAnsi="標楷體" w:cs="標楷體"/>
          <w:sz w:val="32"/>
          <w:szCs w:val="32"/>
        </w:rPr>
        <w:t>2.</w:t>
      </w:r>
      <w:r w:rsidRPr="00D060A7">
        <w:rPr>
          <w:rFonts w:ascii="標楷體" w:eastAsia="標楷體" w:hAnsi="標楷體" w:cs="標楷體" w:hint="eastAsia"/>
          <w:sz w:val="32"/>
          <w:szCs w:val="32"/>
        </w:rPr>
        <w:t>低</w:t>
      </w:r>
      <w:r w:rsidRPr="00D060A7">
        <w:rPr>
          <w:rFonts w:ascii="標楷體" w:eastAsia="標楷體" w:hAnsi="標楷體" w:cs="標楷體" w:hint="eastAsia"/>
          <w:sz w:val="32"/>
          <w:szCs w:val="32"/>
          <w:lang w:val="zh-CN" w:eastAsia="zh-CN"/>
        </w:rPr>
        <w:t>利率</w:t>
      </w:r>
      <w:r w:rsidRPr="00D060A7">
        <w:rPr>
          <w:rFonts w:ascii="標楷體" w:eastAsia="標楷體" w:hAnsi="標楷體" w:cs="標楷體" w:hint="eastAsia"/>
          <w:sz w:val="32"/>
          <w:szCs w:val="32"/>
        </w:rPr>
        <w:t>對房市仍具支撐</w:t>
      </w:r>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454"/>
        <w:rPr>
          <w:rFonts w:ascii="標楷體" w:eastAsia="標楷體" w:hAnsi="標楷體" w:cs="Times New Roman"/>
          <w:sz w:val="32"/>
          <w:szCs w:val="32"/>
        </w:rPr>
      </w:pPr>
      <w:r w:rsidRPr="00D060A7">
        <w:rPr>
          <w:rFonts w:ascii="標楷體" w:eastAsia="標楷體" w:hAnsi="標楷體" w:cs="標楷體" w:hint="eastAsia"/>
          <w:sz w:val="32"/>
          <w:szCs w:val="32"/>
        </w:rPr>
        <w:t>依據中央銀行統計五大銀行</w:t>
      </w:r>
      <w:r w:rsidRPr="00D060A7">
        <w:rPr>
          <w:rFonts w:ascii="標楷體" w:eastAsia="標楷體" w:hAnsi="標楷體" w:cs="標楷體"/>
          <w:sz w:val="32"/>
          <w:szCs w:val="32"/>
        </w:rPr>
        <w:t>(</w:t>
      </w:r>
      <w:r w:rsidRPr="00D060A7">
        <w:rPr>
          <w:rFonts w:ascii="標楷體" w:eastAsia="標楷體" w:hAnsi="標楷體" w:cs="標楷體" w:hint="eastAsia"/>
          <w:sz w:val="32"/>
          <w:szCs w:val="32"/>
        </w:rPr>
        <w:t>台銀、合庫銀、土銀、華銀、一銀</w:t>
      </w:r>
      <w:r w:rsidRPr="00D060A7">
        <w:rPr>
          <w:rFonts w:ascii="標楷體" w:eastAsia="標楷體" w:hAnsi="標楷體" w:cs="標楷體"/>
          <w:sz w:val="32"/>
          <w:szCs w:val="32"/>
        </w:rPr>
        <w:t>)</w:t>
      </w:r>
      <w:r w:rsidRPr="00D060A7">
        <w:rPr>
          <w:rFonts w:ascii="標楷體" w:eastAsia="標楷體" w:hAnsi="標楷體" w:cs="標楷體" w:hint="eastAsia"/>
          <w:sz w:val="32"/>
          <w:szCs w:val="32"/>
        </w:rPr>
        <w:t>的新承作購屋貸款利率，</w:t>
      </w:r>
      <w:r w:rsidRPr="00D060A7">
        <w:rPr>
          <w:rFonts w:ascii="標楷體" w:eastAsia="標楷體" w:hAnsi="標楷體" w:cs="標楷體"/>
          <w:sz w:val="32"/>
          <w:szCs w:val="32"/>
        </w:rPr>
        <w:t>106</w:t>
      </w:r>
      <w:r w:rsidRPr="00D060A7">
        <w:rPr>
          <w:rFonts w:ascii="標楷體" w:eastAsia="標楷體" w:hAnsi="標楷體" w:cs="標楷體" w:hint="eastAsia"/>
          <w:sz w:val="32"/>
          <w:szCs w:val="32"/>
        </w:rPr>
        <w:t>年</w:t>
      </w:r>
      <w:r w:rsidRPr="00D060A7">
        <w:rPr>
          <w:rFonts w:ascii="標楷體" w:eastAsia="標楷體" w:hAnsi="標楷體" w:cs="標楷體"/>
          <w:sz w:val="32"/>
          <w:szCs w:val="32"/>
        </w:rPr>
        <w:t>1</w:t>
      </w:r>
      <w:r w:rsidRPr="00D060A7">
        <w:rPr>
          <w:rFonts w:ascii="標楷體" w:eastAsia="標楷體" w:hAnsi="標楷體" w:cs="標楷體" w:hint="eastAsia"/>
          <w:sz w:val="32"/>
          <w:szCs w:val="32"/>
        </w:rPr>
        <w:t>月的平均利率為</w:t>
      </w:r>
      <w:r w:rsidRPr="00D060A7">
        <w:rPr>
          <w:rFonts w:ascii="標楷體" w:eastAsia="標楷體" w:hAnsi="標楷體" w:cs="標楷體"/>
          <w:sz w:val="32"/>
          <w:szCs w:val="32"/>
        </w:rPr>
        <w:t>1.674</w:t>
      </w:r>
      <w:r w:rsidRPr="00D060A7">
        <w:rPr>
          <w:rFonts w:ascii="標楷體" w:eastAsia="標楷體" w:hAnsi="標楷體" w:cs="標楷體" w:hint="eastAsia"/>
          <w:sz w:val="32"/>
          <w:szCs w:val="32"/>
        </w:rPr>
        <w:t>，相當於歷史低檔水準，基於政府仍積極進行擴大投資，以及未來經濟環境的不確定性，預估未來一至二年，我國的利率水準仍將維持相對低檔，對於房地產市場當前面臨的衰退來說，有助於降低資金成本，對市場將有類似軟著陸的穩定效果，但這也可能意味房地產市場觸底整理的時</w:t>
      </w:r>
      <w:r w:rsidRPr="00D060A7">
        <w:rPr>
          <w:rFonts w:ascii="標楷體" w:eastAsia="標楷體" w:hAnsi="標楷體" w:cs="標楷體" w:hint="eastAsia"/>
          <w:sz w:val="32"/>
          <w:szCs w:val="32"/>
        </w:rPr>
        <w:lastRenderedPageBreak/>
        <w:t>間將會拉長。</w:t>
      </w:r>
    </w:p>
    <w:p w:rsidR="006D7A0E" w:rsidRPr="00D060A7" w:rsidRDefault="006D7A0E" w:rsidP="00CE73DE">
      <w:pPr>
        <w:widowControl/>
        <w:spacing w:before="440" w:line="360" w:lineRule="auto"/>
        <w:rPr>
          <w:rFonts w:ascii="標楷體" w:eastAsia="標楷體" w:hAnsi="標楷體" w:cs="Times New Roman"/>
          <w:sz w:val="32"/>
          <w:szCs w:val="32"/>
        </w:rPr>
      </w:pPr>
      <w:r w:rsidRPr="00D060A7">
        <w:rPr>
          <w:rFonts w:ascii="標楷體" w:eastAsia="標楷體" w:hAnsi="標楷體" w:cs="標楷體"/>
          <w:sz w:val="32"/>
          <w:szCs w:val="32"/>
        </w:rPr>
        <w:t>3.</w:t>
      </w:r>
      <w:r w:rsidRPr="00D060A7">
        <w:rPr>
          <w:rFonts w:ascii="標楷體" w:eastAsia="標楷體" w:hAnsi="標楷體" w:cs="標楷體" w:hint="eastAsia"/>
          <w:sz w:val="32"/>
          <w:szCs w:val="32"/>
        </w:rPr>
        <w:t>新稅效應及政策觀望</w:t>
      </w:r>
    </w:p>
    <w:p w:rsidR="006D7A0E" w:rsidRPr="00D060A7" w:rsidRDefault="006D7A0E"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567"/>
        <w:rPr>
          <w:rFonts w:ascii="標楷體" w:eastAsia="標楷體" w:hAnsi="標楷體" w:cs="Times New Roman"/>
          <w:sz w:val="32"/>
          <w:szCs w:val="32"/>
        </w:rPr>
      </w:pPr>
      <w:r w:rsidRPr="00D060A7">
        <w:rPr>
          <w:rFonts w:ascii="標楷體" w:eastAsia="標楷體" w:hAnsi="標楷體" w:cs="標楷體" w:hint="eastAsia"/>
          <w:sz w:val="32"/>
          <w:szCs w:val="32"/>
        </w:rPr>
        <w:t>在</w:t>
      </w:r>
      <w:r w:rsidRPr="00D060A7">
        <w:rPr>
          <w:rFonts w:ascii="標楷體" w:eastAsia="標楷體" w:hAnsi="標楷體" w:cs="標楷體"/>
          <w:sz w:val="32"/>
          <w:szCs w:val="32"/>
        </w:rPr>
        <w:t>105</w:t>
      </w:r>
      <w:r w:rsidRPr="00D060A7">
        <w:rPr>
          <w:rFonts w:ascii="標楷體" w:eastAsia="標楷體" w:hAnsi="標楷體" w:cs="標楷體" w:hint="eastAsia"/>
          <w:sz w:val="32"/>
          <w:szCs w:val="32"/>
        </w:rPr>
        <w:t>年全面實施房地合一稅，及公告地價大幅調漲造成地價稅增加後，市場動能受到相當大程度的壓抑；</w:t>
      </w:r>
      <w:r w:rsidRPr="00D060A7">
        <w:rPr>
          <w:rFonts w:ascii="標楷體" w:eastAsia="標楷體" w:hAnsi="標楷體" w:cs="標楷體"/>
          <w:sz w:val="32"/>
          <w:szCs w:val="32"/>
        </w:rPr>
        <w:t>105</w:t>
      </w:r>
      <w:r w:rsidRPr="00D060A7">
        <w:rPr>
          <w:rFonts w:ascii="標楷體" w:eastAsia="標楷體" w:hAnsi="標楷體" w:cs="標楷體" w:hint="eastAsia"/>
          <w:sz w:val="32"/>
          <w:szCs w:val="32"/>
        </w:rPr>
        <w:t>年第</w:t>
      </w:r>
      <w:r>
        <w:rPr>
          <w:rFonts w:ascii="標楷體" w:eastAsia="標楷體" w:hAnsi="標楷體" w:cs="標楷體"/>
          <w:sz w:val="32"/>
          <w:szCs w:val="32"/>
        </w:rPr>
        <w:t>4</w:t>
      </w:r>
      <w:r w:rsidRPr="00D060A7">
        <w:rPr>
          <w:rFonts w:ascii="標楷體" w:eastAsia="標楷體" w:hAnsi="標楷體" w:cs="標楷體" w:hint="eastAsia"/>
          <w:sz w:val="32"/>
          <w:szCs w:val="32"/>
        </w:rPr>
        <w:t>季的交易量雖未超越前一年度同期，但仍較第</w:t>
      </w:r>
      <w:r>
        <w:rPr>
          <w:rFonts w:ascii="標楷體" w:eastAsia="標楷體" w:hAnsi="標楷體" w:cs="標楷體"/>
          <w:sz w:val="32"/>
          <w:szCs w:val="32"/>
        </w:rPr>
        <w:t>3</w:t>
      </w:r>
      <w:r w:rsidRPr="00D060A7">
        <w:rPr>
          <w:rFonts w:ascii="標楷體" w:eastAsia="標楷體" w:hAnsi="標楷體" w:cs="標楷體" w:hint="eastAsia"/>
          <w:sz w:val="32"/>
          <w:szCs w:val="32"/>
        </w:rPr>
        <w:t>季為高，第</w:t>
      </w:r>
      <w:r>
        <w:rPr>
          <w:rFonts w:ascii="標楷體" w:eastAsia="標楷體" w:hAnsi="標楷體" w:cs="標楷體"/>
          <w:sz w:val="32"/>
          <w:szCs w:val="32"/>
        </w:rPr>
        <w:t>4</w:t>
      </w:r>
      <w:r w:rsidRPr="00D060A7">
        <w:rPr>
          <w:rFonts w:ascii="標楷體" w:eastAsia="標楷體" w:hAnsi="標楷體" w:cs="標楷體" w:hint="eastAsia"/>
          <w:sz w:val="32"/>
          <w:szCs w:val="32"/>
        </w:rPr>
        <w:t>季的旺季效應仍然存在，意味著市場仍保持觀望，並未失去信心；但展望</w:t>
      </w:r>
      <w:r w:rsidRPr="00D060A7">
        <w:rPr>
          <w:rFonts w:ascii="標楷體" w:eastAsia="標楷體" w:hAnsi="標楷體" w:cs="標楷體"/>
          <w:sz w:val="32"/>
          <w:szCs w:val="32"/>
        </w:rPr>
        <w:t>106</w:t>
      </w:r>
      <w:r w:rsidRPr="00D060A7">
        <w:rPr>
          <w:rFonts w:ascii="標楷體" w:eastAsia="標楷體" w:hAnsi="標楷體" w:cs="標楷體" w:hint="eastAsia"/>
          <w:sz w:val="32"/>
          <w:szCs w:val="32"/>
        </w:rPr>
        <w:t>年的政策走向將偏向社會住宅的配套措施，如公宅加速釋出、社宅興建、租賃專法訂定等；以及稅基正常化的配套措施，如地價一價化、房屋評定現值正常化等；市場也在觀望中展開調整腳步的動作，如推案量減緩、餘屋出清等，預估這波觀望效應將會持續到</w:t>
      </w:r>
      <w:r w:rsidRPr="00D060A7">
        <w:rPr>
          <w:rFonts w:ascii="標楷體" w:eastAsia="標楷體" w:hAnsi="標楷體" w:cs="標楷體"/>
          <w:sz w:val="32"/>
          <w:szCs w:val="32"/>
        </w:rPr>
        <w:t>106</w:t>
      </w:r>
      <w:r w:rsidRPr="00D060A7">
        <w:rPr>
          <w:rFonts w:ascii="標楷體" w:eastAsia="標楷體" w:hAnsi="標楷體" w:cs="標楷體" w:hint="eastAsia"/>
          <w:sz w:val="32"/>
          <w:szCs w:val="32"/>
        </w:rPr>
        <w:t>年上半年，主要將視房屋交易量的下跌幅度是否趨於穩定；如房屋交易量持續創新低，則房價將進一步迅速探底；如房屋交易量開始回升，則房價將維持當前的緩跌整理格局，整理期間也將拉長。</w:t>
      </w:r>
    </w:p>
    <w:p w:rsidR="006D7A0E" w:rsidRPr="00C422E6" w:rsidRDefault="006D7A0E" w:rsidP="00D060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567"/>
        <w:rPr>
          <w:rFonts w:ascii="標楷體" w:eastAsia="標楷體" w:hAnsi="標楷體" w:cs="Times New Roman"/>
          <w:sz w:val="32"/>
          <w:szCs w:val="32"/>
        </w:rPr>
      </w:pPr>
      <w:r w:rsidRPr="00D060A7">
        <w:rPr>
          <w:rFonts w:ascii="標楷體" w:eastAsia="標楷體" w:hAnsi="標楷體" w:cs="標楷體" w:hint="eastAsia"/>
          <w:sz w:val="32"/>
          <w:szCs w:val="32"/>
        </w:rPr>
        <w:t>總結，房市受到經濟成長</w:t>
      </w:r>
      <w:r w:rsidRPr="00D060A7">
        <w:rPr>
          <w:rFonts w:ascii="標楷體" w:eastAsia="標楷體" w:hAnsi="標楷體" w:cs="標楷體"/>
          <w:sz w:val="32"/>
          <w:szCs w:val="32"/>
        </w:rPr>
        <w:t xml:space="preserve"> (</w:t>
      </w:r>
      <w:r w:rsidRPr="00D060A7">
        <w:rPr>
          <w:rFonts w:ascii="標楷體" w:eastAsia="標楷體" w:hAnsi="標楷體" w:cs="標楷體" w:hint="eastAsia"/>
          <w:sz w:val="32"/>
          <w:szCs w:val="32"/>
        </w:rPr>
        <w:t>經濟成長率緩步復甦</w:t>
      </w:r>
      <w:r w:rsidRPr="00D060A7">
        <w:rPr>
          <w:rFonts w:ascii="標楷體" w:eastAsia="標楷體" w:hAnsi="標楷體" w:cs="標楷體"/>
          <w:sz w:val="32"/>
          <w:szCs w:val="32"/>
        </w:rPr>
        <w:t>)</w:t>
      </w:r>
      <w:r w:rsidRPr="00D060A7">
        <w:rPr>
          <w:rFonts w:ascii="標楷體" w:eastAsia="標楷體" w:hAnsi="標楷體" w:cs="標楷體" w:hint="eastAsia"/>
          <w:sz w:val="32"/>
          <w:szCs w:val="32"/>
        </w:rPr>
        <w:t>、</w:t>
      </w:r>
      <w:r w:rsidRPr="00D060A7">
        <w:rPr>
          <w:rFonts w:ascii="標楷體" w:eastAsia="標楷體" w:hAnsi="標楷體" w:cs="標楷體" w:hint="eastAsia"/>
          <w:sz w:val="32"/>
          <w:szCs w:val="32"/>
          <w:lang w:val="ja-JP" w:eastAsia="ja-JP"/>
        </w:rPr>
        <w:t>制度面</w:t>
      </w:r>
      <w:r w:rsidRPr="00D060A7">
        <w:rPr>
          <w:rFonts w:ascii="標楷體" w:eastAsia="標楷體" w:hAnsi="標楷體" w:cs="標楷體"/>
          <w:sz w:val="32"/>
          <w:szCs w:val="32"/>
        </w:rPr>
        <w:t xml:space="preserve"> (</w:t>
      </w:r>
      <w:r w:rsidRPr="00D060A7">
        <w:rPr>
          <w:rFonts w:ascii="標楷體" w:eastAsia="標楷體" w:hAnsi="標楷體" w:cs="標楷體" w:hint="eastAsia"/>
          <w:sz w:val="32"/>
          <w:szCs w:val="32"/>
        </w:rPr>
        <w:t>房地合一稅實施及稅基正常化</w:t>
      </w:r>
      <w:r w:rsidRPr="00D060A7">
        <w:rPr>
          <w:rFonts w:ascii="標楷體" w:eastAsia="標楷體" w:hAnsi="標楷體" w:cs="標楷體"/>
          <w:sz w:val="32"/>
          <w:szCs w:val="32"/>
        </w:rPr>
        <w:t>)</w:t>
      </w:r>
      <w:r w:rsidRPr="00D060A7">
        <w:rPr>
          <w:rFonts w:ascii="標楷體" w:eastAsia="標楷體" w:hAnsi="標楷體" w:cs="標楷體" w:hint="eastAsia"/>
          <w:sz w:val="32"/>
          <w:szCs w:val="32"/>
        </w:rPr>
        <w:t>、趨勢面</w:t>
      </w:r>
      <w:r w:rsidRPr="00D060A7">
        <w:rPr>
          <w:rFonts w:ascii="標楷體" w:eastAsia="標楷體" w:hAnsi="標楷體" w:cs="標楷體"/>
          <w:sz w:val="32"/>
          <w:szCs w:val="32"/>
        </w:rPr>
        <w:t>(</w:t>
      </w:r>
      <w:r w:rsidRPr="00D060A7">
        <w:rPr>
          <w:rFonts w:ascii="標楷體" w:eastAsia="標楷體" w:hAnsi="標楷體" w:cs="標楷體" w:hint="eastAsia"/>
          <w:sz w:val="32"/>
          <w:szCs w:val="32"/>
        </w:rPr>
        <w:t>房價趨勢展開緩跌格局</w:t>
      </w:r>
      <w:r w:rsidRPr="00D060A7">
        <w:rPr>
          <w:rFonts w:ascii="標楷體" w:eastAsia="標楷體" w:hAnsi="標楷體" w:cs="標楷體"/>
          <w:sz w:val="32"/>
          <w:szCs w:val="32"/>
        </w:rPr>
        <w:t>)</w:t>
      </w:r>
      <w:r w:rsidRPr="00D060A7">
        <w:rPr>
          <w:rFonts w:ascii="標楷體" w:eastAsia="標楷體" w:hAnsi="標楷體" w:cs="標楷體" w:hint="eastAsia"/>
          <w:sz w:val="32"/>
          <w:szCs w:val="32"/>
          <w:lang w:val="ja-JP" w:eastAsia="ja-JP"/>
        </w:rPr>
        <w:t>、市場面</w:t>
      </w:r>
      <w:r w:rsidRPr="00D060A7">
        <w:rPr>
          <w:rFonts w:ascii="標楷體" w:eastAsia="標楷體" w:hAnsi="標楷體" w:cs="標楷體"/>
          <w:sz w:val="32"/>
          <w:szCs w:val="32"/>
        </w:rPr>
        <w:t xml:space="preserve"> (</w:t>
      </w:r>
      <w:r w:rsidRPr="00D060A7">
        <w:rPr>
          <w:rFonts w:ascii="標楷體" w:eastAsia="標楷體" w:hAnsi="標楷體" w:cs="標楷體" w:hint="eastAsia"/>
          <w:sz w:val="32"/>
          <w:szCs w:val="32"/>
          <w:lang w:val="zh-CN" w:eastAsia="zh-CN"/>
        </w:rPr>
        <w:t>交易量</w:t>
      </w:r>
      <w:r w:rsidRPr="00D060A7">
        <w:rPr>
          <w:rFonts w:ascii="標楷體" w:eastAsia="標楷體" w:hAnsi="標楷體" w:cs="標楷體" w:hint="eastAsia"/>
          <w:sz w:val="32"/>
          <w:szCs w:val="32"/>
        </w:rPr>
        <w:t>創新低</w:t>
      </w:r>
      <w:r w:rsidRPr="00D060A7">
        <w:rPr>
          <w:rFonts w:ascii="標楷體" w:eastAsia="標楷體" w:hAnsi="標楷體" w:cs="標楷體"/>
          <w:sz w:val="32"/>
          <w:szCs w:val="32"/>
        </w:rPr>
        <w:t>)</w:t>
      </w:r>
      <w:r w:rsidRPr="00D060A7">
        <w:rPr>
          <w:rFonts w:ascii="標楷體" w:eastAsia="標楷體" w:hAnsi="標楷體" w:cs="標楷體" w:hint="eastAsia"/>
          <w:sz w:val="32"/>
          <w:szCs w:val="32"/>
        </w:rPr>
        <w:t>等因素影響及市場觀望的態勢明顯，預料這波觀望效應將持續到</w:t>
      </w:r>
      <w:r w:rsidRPr="00D060A7">
        <w:rPr>
          <w:rFonts w:ascii="標楷體" w:eastAsia="標楷體" w:hAnsi="標楷體" w:cs="標楷體"/>
          <w:sz w:val="32"/>
          <w:szCs w:val="32"/>
        </w:rPr>
        <w:t>106</w:t>
      </w:r>
      <w:r w:rsidRPr="00D060A7">
        <w:rPr>
          <w:rFonts w:ascii="標楷體" w:eastAsia="標楷體" w:hAnsi="標楷體" w:cs="標楷體" w:hint="eastAsia"/>
          <w:sz w:val="32"/>
          <w:szCs w:val="32"/>
        </w:rPr>
        <w:t>年上半年，期間房價可能持續當前的緩跌調整格局；未來將視</w:t>
      </w:r>
      <w:r w:rsidRPr="00D060A7">
        <w:rPr>
          <w:rFonts w:ascii="標楷體" w:eastAsia="標楷體" w:hAnsi="標楷體" w:cs="標楷體"/>
          <w:sz w:val="32"/>
          <w:szCs w:val="32"/>
        </w:rPr>
        <w:t>106</w:t>
      </w:r>
      <w:r w:rsidRPr="00D060A7">
        <w:rPr>
          <w:rFonts w:ascii="標楷體" w:eastAsia="標楷體" w:hAnsi="標楷體" w:cs="標楷體" w:hint="eastAsia"/>
          <w:sz w:val="32"/>
          <w:szCs w:val="32"/>
        </w:rPr>
        <w:t>年上半年的房屋交易量是否趨於穩定，以決定房價將進一步探底或維持當前緩跌整理格局。</w:t>
      </w:r>
    </w:p>
    <w:p w:rsidR="006D7A0E" w:rsidRPr="00C422E6" w:rsidRDefault="006D7A0E" w:rsidP="007F5B21">
      <w:pPr>
        <w:adjustRightInd w:val="0"/>
        <w:snapToGrid w:val="0"/>
        <w:spacing w:beforeLines="100" w:before="240" w:line="500" w:lineRule="atLeast"/>
        <w:jc w:val="both"/>
        <w:rPr>
          <w:rFonts w:ascii="標楷體" w:eastAsia="標楷體" w:hAnsi="標楷體" w:cs="Times New Roman"/>
          <w:b/>
          <w:bCs/>
          <w:sz w:val="32"/>
          <w:szCs w:val="32"/>
        </w:rPr>
      </w:pPr>
      <w:r w:rsidRPr="00C422E6">
        <w:rPr>
          <w:rFonts w:ascii="標楷體" w:eastAsia="標楷體" w:hAnsi="標楷體" w:cs="Times New Roman"/>
          <w:sz w:val="32"/>
          <w:szCs w:val="32"/>
        </w:rPr>
        <w:br w:type="page"/>
      </w:r>
      <w:bookmarkStart w:id="2" w:name="_Toc444595132"/>
      <w:r w:rsidRPr="00C422E6">
        <w:rPr>
          <w:rFonts w:ascii="標楷體" w:eastAsia="標楷體" w:hAnsi="標楷體" w:cs="標楷體" w:hint="eastAsia"/>
          <w:b/>
          <w:bCs/>
          <w:sz w:val="32"/>
          <w:szCs w:val="32"/>
        </w:rPr>
        <w:lastRenderedPageBreak/>
        <w:t>參、住宅價格指數統計表</w:t>
      </w:r>
      <w:bookmarkEnd w:id="2"/>
    </w:p>
    <w:p w:rsidR="006D7A0E" w:rsidRPr="00E0247A" w:rsidRDefault="006D7A0E" w:rsidP="007F5B21">
      <w:pPr>
        <w:adjustRightInd w:val="0"/>
        <w:snapToGrid w:val="0"/>
        <w:spacing w:beforeLines="100" w:before="240" w:afterLines="50" w:after="120" w:line="240" w:lineRule="atLeast"/>
        <w:jc w:val="both"/>
        <w:outlineLvl w:val="0"/>
        <w:rPr>
          <w:rFonts w:ascii="標楷體" w:eastAsia="標楷體" w:hAnsi="標楷體" w:cs="Times New Roman"/>
          <w:b/>
          <w:bCs/>
          <w:sz w:val="32"/>
          <w:szCs w:val="32"/>
        </w:rPr>
      </w:pPr>
      <w:bookmarkStart w:id="3" w:name="_Toc444595133"/>
      <w:r w:rsidRPr="00E0247A">
        <w:rPr>
          <w:rFonts w:ascii="標楷體" w:eastAsia="標楷體" w:hAnsi="標楷體" w:cs="標楷體" w:hint="eastAsia"/>
          <w:b/>
          <w:bCs/>
          <w:sz w:val="32"/>
          <w:szCs w:val="32"/>
        </w:rPr>
        <w:t>表</w:t>
      </w:r>
      <w:r w:rsidRPr="00E0247A">
        <w:rPr>
          <w:rFonts w:ascii="標楷體" w:eastAsia="標楷體" w:hAnsi="標楷體" w:cs="標楷體"/>
          <w:b/>
          <w:bCs/>
          <w:sz w:val="32"/>
          <w:szCs w:val="32"/>
        </w:rPr>
        <w:t xml:space="preserve">1  </w:t>
      </w:r>
      <w:r>
        <w:rPr>
          <w:rFonts w:ascii="標楷體" w:eastAsia="標楷體" w:hAnsi="標楷體" w:cs="標楷體"/>
          <w:b/>
          <w:bCs/>
          <w:sz w:val="32"/>
          <w:szCs w:val="32"/>
        </w:rPr>
        <w:t xml:space="preserve">       </w:t>
      </w:r>
      <w:r w:rsidRPr="00E0247A">
        <w:rPr>
          <w:rFonts w:ascii="標楷體" w:eastAsia="標楷體" w:hAnsi="標楷體" w:cs="標楷體" w:hint="eastAsia"/>
          <w:b/>
          <w:bCs/>
          <w:sz w:val="32"/>
          <w:szCs w:val="32"/>
        </w:rPr>
        <w:t>全國及</w:t>
      </w:r>
      <w:r w:rsidRPr="00E0247A">
        <w:rPr>
          <w:rFonts w:ascii="標楷體" w:eastAsia="標楷體" w:hAnsi="標楷體" w:cs="標楷體"/>
          <w:b/>
          <w:bCs/>
          <w:sz w:val="32"/>
          <w:szCs w:val="32"/>
        </w:rPr>
        <w:t>6</w:t>
      </w:r>
      <w:r w:rsidRPr="00E0247A">
        <w:rPr>
          <w:rFonts w:ascii="標楷體" w:eastAsia="標楷體" w:hAnsi="標楷體" w:cs="標楷體" w:hint="eastAsia"/>
          <w:b/>
          <w:bCs/>
          <w:sz w:val="32"/>
          <w:szCs w:val="32"/>
        </w:rPr>
        <w:t>直轄市住宅價格指數表</w:t>
      </w:r>
      <w:bookmarkEnd w:id="3"/>
    </w:p>
    <w:p w:rsidR="006D7A0E" w:rsidRPr="00C422E6" w:rsidRDefault="006D7A0E" w:rsidP="007F5B21">
      <w:pPr>
        <w:adjustRightInd w:val="0"/>
        <w:snapToGrid w:val="0"/>
        <w:spacing w:afterLines="30" w:after="72" w:line="280" w:lineRule="atLeast"/>
        <w:ind w:leftChars="-23" w:left="-55" w:right="91"/>
        <w:jc w:val="both"/>
        <w:rPr>
          <w:rFonts w:ascii="標楷體" w:eastAsia="標楷體" w:hAnsi="標楷體" w:cs="標楷體"/>
          <w:kern w:val="0"/>
        </w:rPr>
      </w:pPr>
      <w:r w:rsidRPr="00C422E6">
        <w:rPr>
          <w:rFonts w:ascii="標楷體" w:eastAsia="標楷體" w:hAnsi="標楷體" w:cs="標楷體" w:hint="eastAsia"/>
          <w:kern w:val="0"/>
        </w:rPr>
        <w:t>基期為中華民國</w:t>
      </w:r>
      <w:r w:rsidRPr="00C422E6">
        <w:rPr>
          <w:rFonts w:ascii="標楷體" w:eastAsia="標楷體" w:hAnsi="標楷體" w:cs="標楷體"/>
          <w:kern w:val="0"/>
        </w:rPr>
        <w:t>102</w:t>
      </w:r>
      <w:r w:rsidRPr="00C422E6">
        <w:rPr>
          <w:rFonts w:ascii="標楷體" w:eastAsia="標楷體" w:hAnsi="標楷體" w:cs="標楷體" w:hint="eastAsia"/>
          <w:kern w:val="0"/>
        </w:rPr>
        <w:t>年全年</w:t>
      </w:r>
      <w:r w:rsidRPr="00C422E6">
        <w:rPr>
          <w:rFonts w:ascii="標楷體" w:eastAsia="標楷體" w:hAnsi="標楷體" w:cs="標楷體"/>
          <w:kern w:val="0"/>
        </w:rPr>
        <w:t>=100</w:t>
      </w: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0"/>
        <w:gridCol w:w="1200"/>
        <w:gridCol w:w="1200"/>
        <w:gridCol w:w="1200"/>
        <w:gridCol w:w="1200"/>
        <w:gridCol w:w="1200"/>
        <w:gridCol w:w="1200"/>
        <w:gridCol w:w="1200"/>
      </w:tblGrid>
      <w:tr w:rsidR="006D7A0E" w:rsidRPr="00C422E6">
        <w:trPr>
          <w:trHeight w:val="585"/>
          <w:tblHeader/>
          <w:jc w:val="center"/>
        </w:trPr>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縣市</w:t>
            </w:r>
          </w:p>
        </w:tc>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全　國</w:t>
            </w:r>
          </w:p>
        </w:tc>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新北市</w:t>
            </w:r>
          </w:p>
        </w:tc>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臺北市</w:t>
            </w:r>
          </w:p>
        </w:tc>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桃園市</w:t>
            </w:r>
          </w:p>
        </w:tc>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臺中市</w:t>
            </w:r>
          </w:p>
        </w:tc>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臺南市</w:t>
            </w:r>
          </w:p>
        </w:tc>
        <w:tc>
          <w:tcPr>
            <w:tcW w:w="1200" w:type="dxa"/>
            <w:tcBorders>
              <w:top w:val="single" w:sz="12" w:space="0" w:color="auto"/>
            </w:tcBorders>
            <w:vAlign w:val="center"/>
          </w:tcPr>
          <w:p w:rsidR="006D7A0E" w:rsidRPr="00EF0E69" w:rsidRDefault="006D7A0E" w:rsidP="00980B62">
            <w:pPr>
              <w:widowControl/>
              <w:jc w:val="center"/>
              <w:rPr>
                <w:rFonts w:ascii="標楷體" w:eastAsia="標楷體" w:hAnsi="標楷體" w:cs="Times New Roman"/>
                <w:b/>
                <w:bCs/>
                <w:kern w:val="0"/>
                <w:sz w:val="30"/>
                <w:szCs w:val="30"/>
              </w:rPr>
            </w:pPr>
            <w:r w:rsidRPr="00EF0E69">
              <w:rPr>
                <w:rFonts w:ascii="標楷體" w:eastAsia="標楷體" w:hAnsi="標楷體" w:cs="標楷體" w:hint="eastAsia"/>
                <w:b/>
                <w:bCs/>
                <w:kern w:val="0"/>
                <w:sz w:val="30"/>
                <w:szCs w:val="30"/>
              </w:rPr>
              <w:t>高雄市</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102</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2</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99.12</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99.35</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99.12</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99.17</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98.61</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98.68</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98.75</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102</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3</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101.66</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101.69</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101.89</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104.77</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103.54</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102.42</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102.60</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102</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4</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103.76</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105.33</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104.12</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104.93</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104.98</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104.14</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107.29</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1</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107.48</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108.19</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107.36</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110.16</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112.12</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109.17</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110.55</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2</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109.34</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110.59</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108.23</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111.04</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116.63</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112.02</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112.33</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3</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111.65</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109.97</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108.87</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113.93</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116.80</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115.00</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113.35</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103</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4</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113.25</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110.82</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107.06</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118.59</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119.97</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116.53</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119.51</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1</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115.19</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109.98</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106.00</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116.34</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126.89</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122.51</w:t>
            </w:r>
          </w:p>
        </w:tc>
        <w:tc>
          <w:tcPr>
            <w:tcW w:w="1200" w:type="dxa"/>
            <w:vAlign w:val="center"/>
          </w:tcPr>
          <w:p w:rsidR="006D7A0E" w:rsidRPr="00C422E6" w:rsidRDefault="006D7A0E" w:rsidP="00EF0E69">
            <w:pPr>
              <w:spacing w:line="400" w:lineRule="exact"/>
              <w:jc w:val="center"/>
              <w:rPr>
                <w:rFonts w:ascii="標楷體" w:eastAsia="標楷體" w:hAnsi="標楷體" w:cs="標楷體"/>
                <w:kern w:val="0"/>
                <w:sz w:val="30"/>
                <w:szCs w:val="30"/>
              </w:rPr>
            </w:pPr>
            <w:r w:rsidRPr="00C422E6">
              <w:rPr>
                <w:rFonts w:ascii="標楷體" w:eastAsia="標楷體" w:hAnsi="標楷體" w:cs="標楷體"/>
                <w:kern w:val="0"/>
                <w:sz w:val="30"/>
                <w:szCs w:val="30"/>
              </w:rPr>
              <w:t>121.17</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2</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114.48</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110.13</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106.56</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117.73</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126.67</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120.97</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122.19</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3</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114.40</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109.83</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105.23</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116.74</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123.08</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119.95</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122.04</w:t>
            </w:r>
          </w:p>
        </w:tc>
      </w:tr>
      <w:tr w:rsidR="006D7A0E" w:rsidRPr="00C422E6">
        <w:trPr>
          <w:trHeight w:val="585"/>
          <w:jc w:val="center"/>
        </w:trPr>
        <w:tc>
          <w:tcPr>
            <w:tcW w:w="1200" w:type="dxa"/>
            <w:vAlign w:val="center"/>
          </w:tcPr>
          <w:p w:rsidR="006D7A0E" w:rsidRPr="00C422E6" w:rsidRDefault="006D7A0E" w:rsidP="00EF0E69">
            <w:pPr>
              <w:widowControl/>
              <w:spacing w:line="400" w:lineRule="exact"/>
              <w:jc w:val="center"/>
              <w:rPr>
                <w:rFonts w:ascii="標楷體" w:eastAsia="標楷體" w:hAnsi="標楷體" w:cs="Times New Roman"/>
                <w:kern w:val="0"/>
                <w:sz w:val="30"/>
                <w:szCs w:val="30"/>
              </w:rPr>
            </w:pPr>
            <w:r w:rsidRPr="00C422E6">
              <w:rPr>
                <w:rFonts w:ascii="標楷體" w:eastAsia="標楷體" w:hAnsi="標楷體" w:cs="標楷體"/>
                <w:kern w:val="0"/>
                <w:sz w:val="30"/>
                <w:szCs w:val="30"/>
              </w:rPr>
              <w:t>104</w:t>
            </w:r>
            <w:r w:rsidRPr="00C422E6">
              <w:rPr>
                <w:rFonts w:ascii="標楷體" w:eastAsia="標楷體" w:hAnsi="標楷體" w:cs="標楷體" w:hint="eastAsia"/>
                <w:kern w:val="0"/>
                <w:sz w:val="30"/>
                <w:szCs w:val="30"/>
              </w:rPr>
              <w:t>年第</w:t>
            </w:r>
            <w:r w:rsidRPr="00C422E6">
              <w:rPr>
                <w:rFonts w:ascii="標楷體" w:eastAsia="標楷體" w:hAnsi="標楷體" w:cs="標楷體"/>
                <w:kern w:val="0"/>
                <w:sz w:val="30"/>
                <w:szCs w:val="30"/>
              </w:rPr>
              <w:t>4</w:t>
            </w:r>
            <w:r w:rsidRPr="00C422E6">
              <w:rPr>
                <w:rFonts w:ascii="標楷體" w:eastAsia="標楷體" w:hAnsi="標楷體" w:cs="標楷體" w:hint="eastAsia"/>
                <w:kern w:val="0"/>
                <w:sz w:val="30"/>
                <w:szCs w:val="30"/>
              </w:rPr>
              <w:t>季</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113.85</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107.79</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101.54</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115.68</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121.14</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119.29</w:t>
            </w:r>
          </w:p>
        </w:tc>
        <w:tc>
          <w:tcPr>
            <w:tcW w:w="1200" w:type="dxa"/>
            <w:vAlign w:val="center"/>
          </w:tcPr>
          <w:p w:rsidR="006D7A0E" w:rsidRPr="00C422E6" w:rsidRDefault="006D7A0E" w:rsidP="00EF0E69">
            <w:pPr>
              <w:spacing w:line="400" w:lineRule="exact"/>
              <w:jc w:val="center"/>
              <w:rPr>
                <w:rFonts w:ascii="標楷體" w:eastAsia="標楷體" w:hAnsi="標楷體" w:cs="標楷體"/>
                <w:color w:val="000000"/>
                <w:sz w:val="30"/>
                <w:szCs w:val="30"/>
              </w:rPr>
            </w:pPr>
            <w:r w:rsidRPr="00C422E6">
              <w:rPr>
                <w:rFonts w:ascii="標楷體" w:eastAsia="標楷體" w:hAnsi="標楷體" w:cs="標楷體"/>
                <w:color w:val="000000"/>
                <w:sz w:val="30"/>
                <w:szCs w:val="30"/>
              </w:rPr>
              <w:t>120.73</w:t>
            </w:r>
          </w:p>
        </w:tc>
      </w:tr>
      <w:tr w:rsidR="006D7A0E" w:rsidRPr="00C422E6">
        <w:trPr>
          <w:trHeight w:val="585"/>
          <w:jc w:val="center"/>
        </w:trPr>
        <w:tc>
          <w:tcPr>
            <w:tcW w:w="1200" w:type="dxa"/>
            <w:tcBorders>
              <w:bottom w:val="single" w:sz="12" w:space="0" w:color="auto"/>
            </w:tcBorders>
            <w:vAlign w:val="center"/>
          </w:tcPr>
          <w:p w:rsidR="006D7A0E" w:rsidRPr="007E2443" w:rsidRDefault="006D7A0E" w:rsidP="00EF0E69">
            <w:pPr>
              <w:widowControl/>
              <w:spacing w:line="400" w:lineRule="exact"/>
              <w:jc w:val="center"/>
              <w:rPr>
                <w:rFonts w:ascii="標楷體" w:eastAsia="標楷體" w:hAnsi="標楷體" w:cs="Times New Roman"/>
                <w:kern w:val="0"/>
                <w:sz w:val="30"/>
                <w:szCs w:val="30"/>
              </w:rPr>
            </w:pPr>
            <w:r w:rsidRPr="007E2443">
              <w:rPr>
                <w:rFonts w:ascii="標楷體" w:eastAsia="標楷體" w:hAnsi="標楷體" w:cs="標楷體"/>
                <w:kern w:val="0"/>
                <w:sz w:val="30"/>
                <w:szCs w:val="30"/>
              </w:rPr>
              <w:t>105</w:t>
            </w:r>
            <w:r w:rsidRPr="007E2443">
              <w:rPr>
                <w:rFonts w:ascii="標楷體" w:eastAsia="標楷體" w:hAnsi="標楷體" w:cs="標楷體" w:hint="eastAsia"/>
                <w:kern w:val="0"/>
                <w:sz w:val="30"/>
                <w:szCs w:val="30"/>
              </w:rPr>
              <w:t>年</w:t>
            </w:r>
          </w:p>
          <w:p w:rsidR="006D7A0E" w:rsidRPr="007E2443" w:rsidRDefault="006D7A0E" w:rsidP="00EF0E69">
            <w:pPr>
              <w:widowControl/>
              <w:spacing w:line="400" w:lineRule="exact"/>
              <w:jc w:val="center"/>
              <w:rPr>
                <w:rFonts w:ascii="標楷體" w:eastAsia="標楷體" w:hAnsi="標楷體" w:cs="Times New Roman"/>
                <w:kern w:val="0"/>
                <w:sz w:val="30"/>
                <w:szCs w:val="30"/>
              </w:rPr>
            </w:pPr>
            <w:r w:rsidRPr="007E2443">
              <w:rPr>
                <w:rFonts w:ascii="標楷體" w:eastAsia="標楷體" w:hAnsi="標楷體" w:cs="標楷體" w:hint="eastAsia"/>
                <w:kern w:val="0"/>
                <w:sz w:val="30"/>
                <w:szCs w:val="30"/>
              </w:rPr>
              <w:t>第</w:t>
            </w:r>
            <w:r w:rsidRPr="007E2443">
              <w:rPr>
                <w:rFonts w:ascii="標楷體" w:eastAsia="標楷體" w:hAnsi="標楷體" w:cs="標楷體"/>
                <w:kern w:val="0"/>
                <w:sz w:val="30"/>
                <w:szCs w:val="30"/>
              </w:rPr>
              <w:t>1</w:t>
            </w:r>
            <w:r w:rsidRPr="007E2443">
              <w:rPr>
                <w:rFonts w:ascii="標楷體" w:eastAsia="標楷體" w:hAnsi="標楷體" w:cs="標楷體" w:hint="eastAsia"/>
                <w:kern w:val="0"/>
                <w:sz w:val="30"/>
                <w:szCs w:val="30"/>
              </w:rPr>
              <w:t>季</w:t>
            </w:r>
          </w:p>
        </w:tc>
        <w:tc>
          <w:tcPr>
            <w:tcW w:w="1200" w:type="dxa"/>
            <w:tcBorders>
              <w:bottom w:val="single" w:sz="12" w:space="0" w:color="auto"/>
            </w:tcBorders>
            <w:vAlign w:val="center"/>
          </w:tcPr>
          <w:p w:rsidR="006D7A0E" w:rsidRPr="007E2443" w:rsidRDefault="006D7A0E" w:rsidP="00EF0E69">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113.68</w:t>
            </w:r>
          </w:p>
        </w:tc>
        <w:tc>
          <w:tcPr>
            <w:tcW w:w="1200" w:type="dxa"/>
            <w:tcBorders>
              <w:bottom w:val="single" w:sz="12" w:space="0" w:color="auto"/>
            </w:tcBorders>
            <w:vAlign w:val="center"/>
          </w:tcPr>
          <w:p w:rsidR="006D7A0E" w:rsidRPr="007E2443" w:rsidRDefault="006D7A0E" w:rsidP="00EF0E69">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107.60</w:t>
            </w:r>
          </w:p>
        </w:tc>
        <w:tc>
          <w:tcPr>
            <w:tcW w:w="1200" w:type="dxa"/>
            <w:tcBorders>
              <w:bottom w:val="single" w:sz="12" w:space="0" w:color="auto"/>
            </w:tcBorders>
            <w:vAlign w:val="center"/>
          </w:tcPr>
          <w:p w:rsidR="006D7A0E" w:rsidRPr="007E2443" w:rsidRDefault="006D7A0E" w:rsidP="00EF0E69">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100.21</w:t>
            </w:r>
          </w:p>
        </w:tc>
        <w:tc>
          <w:tcPr>
            <w:tcW w:w="1200" w:type="dxa"/>
            <w:tcBorders>
              <w:bottom w:val="single" w:sz="12" w:space="0" w:color="auto"/>
            </w:tcBorders>
            <w:vAlign w:val="center"/>
          </w:tcPr>
          <w:p w:rsidR="006D7A0E" w:rsidRPr="007E2443" w:rsidRDefault="006D7A0E" w:rsidP="00EF0E69">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114.74</w:t>
            </w:r>
          </w:p>
        </w:tc>
        <w:tc>
          <w:tcPr>
            <w:tcW w:w="1200" w:type="dxa"/>
            <w:tcBorders>
              <w:bottom w:val="single" w:sz="12" w:space="0" w:color="auto"/>
            </w:tcBorders>
            <w:vAlign w:val="center"/>
          </w:tcPr>
          <w:p w:rsidR="006D7A0E" w:rsidRPr="007E2443" w:rsidRDefault="006D7A0E" w:rsidP="00EF0E69">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120.65</w:t>
            </w:r>
          </w:p>
        </w:tc>
        <w:tc>
          <w:tcPr>
            <w:tcW w:w="1200" w:type="dxa"/>
            <w:tcBorders>
              <w:bottom w:val="single" w:sz="12" w:space="0" w:color="auto"/>
            </w:tcBorders>
            <w:vAlign w:val="center"/>
          </w:tcPr>
          <w:p w:rsidR="006D7A0E" w:rsidRPr="007E2443" w:rsidRDefault="006D7A0E" w:rsidP="00EF0E69">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119.24</w:t>
            </w:r>
          </w:p>
        </w:tc>
        <w:tc>
          <w:tcPr>
            <w:tcW w:w="1200" w:type="dxa"/>
            <w:tcBorders>
              <w:bottom w:val="single" w:sz="12" w:space="0" w:color="auto"/>
            </w:tcBorders>
            <w:vAlign w:val="center"/>
          </w:tcPr>
          <w:p w:rsidR="006D7A0E" w:rsidRPr="007E2443" w:rsidRDefault="006D7A0E" w:rsidP="00EF0E69">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119.20</w:t>
            </w:r>
          </w:p>
        </w:tc>
      </w:tr>
      <w:tr w:rsidR="006D7A0E" w:rsidRPr="00C422E6">
        <w:trPr>
          <w:trHeight w:val="585"/>
          <w:jc w:val="center"/>
        </w:trPr>
        <w:tc>
          <w:tcPr>
            <w:tcW w:w="1200" w:type="dxa"/>
            <w:vAlign w:val="center"/>
          </w:tcPr>
          <w:p w:rsidR="006D7A0E" w:rsidRPr="007E2443" w:rsidRDefault="006D7A0E" w:rsidP="001709BE">
            <w:pPr>
              <w:widowControl/>
              <w:spacing w:line="400" w:lineRule="exact"/>
              <w:jc w:val="center"/>
              <w:rPr>
                <w:rFonts w:ascii="標楷體" w:eastAsia="標楷體" w:hAnsi="標楷體" w:cs="Times New Roman"/>
                <w:kern w:val="0"/>
                <w:sz w:val="30"/>
                <w:szCs w:val="30"/>
              </w:rPr>
            </w:pPr>
            <w:r w:rsidRPr="007E2443">
              <w:rPr>
                <w:rFonts w:ascii="標楷體" w:eastAsia="標楷體" w:hAnsi="標楷體" w:cs="標楷體"/>
                <w:kern w:val="0"/>
                <w:sz w:val="30"/>
                <w:szCs w:val="30"/>
              </w:rPr>
              <w:t>105</w:t>
            </w:r>
            <w:r w:rsidRPr="007E2443">
              <w:rPr>
                <w:rFonts w:ascii="標楷體" w:eastAsia="標楷體" w:hAnsi="標楷體" w:cs="標楷體" w:hint="eastAsia"/>
                <w:kern w:val="0"/>
                <w:sz w:val="30"/>
                <w:szCs w:val="30"/>
              </w:rPr>
              <w:t>年</w:t>
            </w:r>
          </w:p>
          <w:p w:rsidR="006D7A0E" w:rsidRPr="007E2443" w:rsidRDefault="006D7A0E" w:rsidP="001709BE">
            <w:pPr>
              <w:widowControl/>
              <w:spacing w:line="400" w:lineRule="exact"/>
              <w:jc w:val="center"/>
              <w:rPr>
                <w:rFonts w:ascii="標楷體" w:eastAsia="標楷體" w:hAnsi="標楷體" w:cs="Times New Roman"/>
                <w:kern w:val="0"/>
                <w:sz w:val="30"/>
                <w:szCs w:val="30"/>
              </w:rPr>
            </w:pPr>
            <w:r w:rsidRPr="007E2443">
              <w:rPr>
                <w:rFonts w:ascii="標楷體" w:eastAsia="標楷體" w:hAnsi="標楷體" w:cs="標楷體" w:hint="eastAsia"/>
                <w:kern w:val="0"/>
                <w:sz w:val="30"/>
                <w:szCs w:val="30"/>
              </w:rPr>
              <w:t>第</w:t>
            </w:r>
            <w:r w:rsidRPr="007E2443">
              <w:rPr>
                <w:rFonts w:ascii="標楷體" w:eastAsia="標楷體" w:hAnsi="標楷體" w:cs="標楷體"/>
                <w:kern w:val="0"/>
                <w:sz w:val="30"/>
                <w:szCs w:val="30"/>
              </w:rPr>
              <w:t>2</w:t>
            </w:r>
            <w:r w:rsidRPr="007E2443">
              <w:rPr>
                <w:rFonts w:ascii="標楷體" w:eastAsia="標楷體" w:hAnsi="標楷體" w:cs="標楷體" w:hint="eastAsia"/>
                <w:kern w:val="0"/>
                <w:sz w:val="30"/>
                <w:szCs w:val="30"/>
              </w:rPr>
              <w:t>季</w:t>
            </w:r>
          </w:p>
        </w:tc>
        <w:tc>
          <w:tcPr>
            <w:tcW w:w="1200" w:type="dxa"/>
            <w:vAlign w:val="center"/>
          </w:tcPr>
          <w:p w:rsidR="006D7A0E" w:rsidRPr="007E2443" w:rsidRDefault="006D7A0E" w:rsidP="003A3EA5">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 xml:space="preserve">115.01 </w:t>
            </w:r>
          </w:p>
        </w:tc>
        <w:tc>
          <w:tcPr>
            <w:tcW w:w="1200" w:type="dxa"/>
            <w:vAlign w:val="center"/>
          </w:tcPr>
          <w:p w:rsidR="006D7A0E" w:rsidRPr="007E2443" w:rsidRDefault="006D7A0E" w:rsidP="003A3EA5">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 xml:space="preserve">107.04 </w:t>
            </w:r>
          </w:p>
        </w:tc>
        <w:tc>
          <w:tcPr>
            <w:tcW w:w="1200" w:type="dxa"/>
            <w:vAlign w:val="center"/>
          </w:tcPr>
          <w:p w:rsidR="006D7A0E" w:rsidRPr="007E2443" w:rsidRDefault="006D7A0E" w:rsidP="003A3EA5">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 xml:space="preserve">100.41 </w:t>
            </w:r>
          </w:p>
        </w:tc>
        <w:tc>
          <w:tcPr>
            <w:tcW w:w="1200" w:type="dxa"/>
            <w:vAlign w:val="center"/>
          </w:tcPr>
          <w:p w:rsidR="006D7A0E" w:rsidRPr="007E2443" w:rsidRDefault="006D7A0E" w:rsidP="003A3EA5">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 xml:space="preserve">112.26 </w:t>
            </w:r>
          </w:p>
        </w:tc>
        <w:tc>
          <w:tcPr>
            <w:tcW w:w="1200" w:type="dxa"/>
            <w:vAlign w:val="center"/>
          </w:tcPr>
          <w:p w:rsidR="006D7A0E" w:rsidRPr="007E2443" w:rsidRDefault="006D7A0E" w:rsidP="003A3EA5">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 xml:space="preserve">123.07 </w:t>
            </w:r>
          </w:p>
        </w:tc>
        <w:tc>
          <w:tcPr>
            <w:tcW w:w="1200" w:type="dxa"/>
            <w:vAlign w:val="center"/>
          </w:tcPr>
          <w:p w:rsidR="006D7A0E" w:rsidRPr="007E2443" w:rsidRDefault="006D7A0E" w:rsidP="003A3EA5">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 xml:space="preserve">121.19 </w:t>
            </w:r>
          </w:p>
        </w:tc>
        <w:tc>
          <w:tcPr>
            <w:tcW w:w="1200" w:type="dxa"/>
            <w:vAlign w:val="center"/>
          </w:tcPr>
          <w:p w:rsidR="006D7A0E" w:rsidRPr="007E2443" w:rsidRDefault="006D7A0E" w:rsidP="003A3EA5">
            <w:pPr>
              <w:spacing w:line="400" w:lineRule="exact"/>
              <w:jc w:val="center"/>
              <w:rPr>
                <w:rFonts w:ascii="標楷體" w:eastAsia="標楷體" w:hAnsi="標楷體" w:cs="標楷體"/>
                <w:sz w:val="30"/>
                <w:szCs w:val="30"/>
              </w:rPr>
            </w:pPr>
            <w:r w:rsidRPr="007E2443">
              <w:rPr>
                <w:rFonts w:ascii="標楷體" w:eastAsia="標楷體" w:hAnsi="標楷體" w:cs="標楷體"/>
                <w:sz w:val="30"/>
                <w:szCs w:val="30"/>
              </w:rPr>
              <w:t xml:space="preserve">121.34 </w:t>
            </w:r>
          </w:p>
        </w:tc>
      </w:tr>
      <w:tr w:rsidR="006D7A0E" w:rsidRPr="00A6698E">
        <w:trPr>
          <w:trHeight w:val="585"/>
          <w:jc w:val="center"/>
        </w:trPr>
        <w:tc>
          <w:tcPr>
            <w:tcW w:w="1200" w:type="dxa"/>
            <w:tcBorders>
              <w:bottom w:val="single" w:sz="12" w:space="0" w:color="auto"/>
            </w:tcBorders>
            <w:vAlign w:val="center"/>
          </w:tcPr>
          <w:p w:rsidR="006D7A0E" w:rsidRPr="007E2443" w:rsidRDefault="006D7A0E" w:rsidP="001709BE">
            <w:pPr>
              <w:widowControl/>
              <w:spacing w:line="400" w:lineRule="exact"/>
              <w:jc w:val="center"/>
              <w:rPr>
                <w:rFonts w:ascii="標楷體" w:eastAsia="標楷體" w:hAnsi="標楷體" w:cs="Times New Roman"/>
                <w:kern w:val="0"/>
                <w:sz w:val="30"/>
                <w:szCs w:val="30"/>
              </w:rPr>
            </w:pPr>
            <w:r w:rsidRPr="007E2443">
              <w:rPr>
                <w:rFonts w:ascii="標楷體" w:eastAsia="標楷體" w:hAnsi="標楷體" w:cs="標楷體"/>
                <w:kern w:val="0"/>
                <w:sz w:val="30"/>
                <w:szCs w:val="30"/>
              </w:rPr>
              <w:t>105</w:t>
            </w:r>
            <w:r w:rsidRPr="007E2443">
              <w:rPr>
                <w:rFonts w:ascii="標楷體" w:eastAsia="標楷體" w:hAnsi="標楷體" w:cs="標楷體" w:hint="eastAsia"/>
                <w:kern w:val="0"/>
                <w:sz w:val="30"/>
                <w:szCs w:val="30"/>
              </w:rPr>
              <w:t>年</w:t>
            </w:r>
          </w:p>
          <w:p w:rsidR="006D7A0E" w:rsidRPr="007E2443" w:rsidRDefault="006D7A0E" w:rsidP="001709BE">
            <w:pPr>
              <w:widowControl/>
              <w:spacing w:line="400" w:lineRule="exact"/>
              <w:jc w:val="center"/>
              <w:rPr>
                <w:rFonts w:ascii="標楷體" w:eastAsia="標楷體" w:hAnsi="標楷體" w:cs="Times New Roman"/>
                <w:kern w:val="0"/>
                <w:sz w:val="30"/>
                <w:szCs w:val="30"/>
              </w:rPr>
            </w:pPr>
            <w:r w:rsidRPr="007E2443">
              <w:rPr>
                <w:rFonts w:ascii="標楷體" w:eastAsia="標楷體" w:hAnsi="標楷體" w:cs="標楷體" w:hint="eastAsia"/>
                <w:kern w:val="0"/>
                <w:sz w:val="30"/>
                <w:szCs w:val="30"/>
              </w:rPr>
              <w:t>第</w:t>
            </w:r>
            <w:r w:rsidRPr="007E2443">
              <w:rPr>
                <w:rFonts w:ascii="標楷體" w:eastAsia="標楷體" w:hAnsi="標楷體" w:cs="標楷體"/>
                <w:kern w:val="0"/>
                <w:sz w:val="30"/>
                <w:szCs w:val="30"/>
              </w:rPr>
              <w:t>3</w:t>
            </w:r>
            <w:r w:rsidRPr="007E2443">
              <w:rPr>
                <w:rFonts w:ascii="標楷體" w:eastAsia="標楷體" w:hAnsi="標楷體" w:cs="標楷體" w:hint="eastAsia"/>
                <w:kern w:val="0"/>
                <w:sz w:val="30"/>
                <w:szCs w:val="30"/>
              </w:rPr>
              <w:t>季</w:t>
            </w:r>
          </w:p>
        </w:tc>
        <w:tc>
          <w:tcPr>
            <w:tcW w:w="1200" w:type="dxa"/>
            <w:tcBorders>
              <w:bottom w:val="single" w:sz="12" w:space="0" w:color="auto"/>
            </w:tcBorders>
            <w:vAlign w:val="center"/>
          </w:tcPr>
          <w:p w:rsidR="006D7A0E" w:rsidRPr="007E2443" w:rsidRDefault="006D7A0E">
            <w:pPr>
              <w:jc w:val="center"/>
              <w:rPr>
                <w:rFonts w:ascii="標楷體" w:eastAsia="標楷體" w:hAnsi="標楷體" w:cs="標楷體"/>
                <w:kern w:val="0"/>
                <w:sz w:val="30"/>
                <w:szCs w:val="30"/>
              </w:rPr>
            </w:pPr>
            <w:r w:rsidRPr="007E2443">
              <w:rPr>
                <w:rFonts w:ascii="標楷體" w:eastAsia="標楷體" w:hAnsi="標楷體" w:cs="標楷體"/>
                <w:kern w:val="0"/>
                <w:sz w:val="30"/>
                <w:szCs w:val="30"/>
              </w:rPr>
              <w:t xml:space="preserve">115.16 </w:t>
            </w:r>
          </w:p>
        </w:tc>
        <w:tc>
          <w:tcPr>
            <w:tcW w:w="1200" w:type="dxa"/>
            <w:tcBorders>
              <w:bottom w:val="single" w:sz="12" w:space="0" w:color="auto"/>
            </w:tcBorders>
            <w:vAlign w:val="center"/>
          </w:tcPr>
          <w:p w:rsidR="006D7A0E" w:rsidRPr="007E2443" w:rsidRDefault="006D7A0E">
            <w:pPr>
              <w:jc w:val="center"/>
              <w:rPr>
                <w:rFonts w:ascii="標楷體" w:eastAsia="標楷體" w:hAnsi="標楷體" w:cs="標楷體"/>
                <w:kern w:val="0"/>
                <w:sz w:val="30"/>
                <w:szCs w:val="30"/>
              </w:rPr>
            </w:pPr>
            <w:r w:rsidRPr="007E2443">
              <w:rPr>
                <w:rFonts w:ascii="標楷體" w:eastAsia="標楷體" w:hAnsi="標楷體" w:cs="標楷體"/>
                <w:kern w:val="0"/>
                <w:sz w:val="30"/>
                <w:szCs w:val="30"/>
              </w:rPr>
              <w:t xml:space="preserve">106.90 </w:t>
            </w:r>
          </w:p>
        </w:tc>
        <w:tc>
          <w:tcPr>
            <w:tcW w:w="1200" w:type="dxa"/>
            <w:tcBorders>
              <w:bottom w:val="single" w:sz="12" w:space="0" w:color="auto"/>
            </w:tcBorders>
            <w:vAlign w:val="center"/>
          </w:tcPr>
          <w:p w:rsidR="006D7A0E" w:rsidRPr="007E2443" w:rsidRDefault="006D7A0E">
            <w:pPr>
              <w:jc w:val="center"/>
              <w:rPr>
                <w:rFonts w:ascii="標楷體" w:eastAsia="標楷體" w:hAnsi="標楷體" w:cs="標楷體"/>
                <w:kern w:val="0"/>
                <w:sz w:val="30"/>
                <w:szCs w:val="30"/>
              </w:rPr>
            </w:pPr>
            <w:r w:rsidRPr="007E2443">
              <w:rPr>
                <w:rFonts w:ascii="標楷體" w:eastAsia="標楷體" w:hAnsi="標楷體" w:cs="標楷體"/>
                <w:kern w:val="0"/>
                <w:sz w:val="30"/>
                <w:szCs w:val="30"/>
              </w:rPr>
              <w:t xml:space="preserve">100.34 </w:t>
            </w:r>
          </w:p>
        </w:tc>
        <w:tc>
          <w:tcPr>
            <w:tcW w:w="1200" w:type="dxa"/>
            <w:tcBorders>
              <w:bottom w:val="single" w:sz="12" w:space="0" w:color="auto"/>
            </w:tcBorders>
            <w:vAlign w:val="center"/>
          </w:tcPr>
          <w:p w:rsidR="006D7A0E" w:rsidRPr="007E2443" w:rsidRDefault="006D7A0E">
            <w:pPr>
              <w:jc w:val="center"/>
              <w:rPr>
                <w:rFonts w:ascii="標楷體" w:eastAsia="標楷體" w:hAnsi="標楷體" w:cs="標楷體"/>
                <w:kern w:val="0"/>
                <w:sz w:val="30"/>
                <w:szCs w:val="30"/>
              </w:rPr>
            </w:pPr>
            <w:r w:rsidRPr="007E2443">
              <w:rPr>
                <w:rFonts w:ascii="標楷體" w:eastAsia="標楷體" w:hAnsi="標楷體" w:cs="標楷體"/>
                <w:kern w:val="0"/>
                <w:sz w:val="30"/>
                <w:szCs w:val="30"/>
              </w:rPr>
              <w:t xml:space="preserve">114.72 </w:t>
            </w:r>
          </w:p>
        </w:tc>
        <w:tc>
          <w:tcPr>
            <w:tcW w:w="1200" w:type="dxa"/>
            <w:tcBorders>
              <w:bottom w:val="single" w:sz="12" w:space="0" w:color="auto"/>
            </w:tcBorders>
            <w:vAlign w:val="center"/>
          </w:tcPr>
          <w:p w:rsidR="006D7A0E" w:rsidRPr="007E2443" w:rsidRDefault="006D7A0E">
            <w:pPr>
              <w:jc w:val="center"/>
              <w:rPr>
                <w:rFonts w:ascii="標楷體" w:eastAsia="標楷體" w:hAnsi="標楷體" w:cs="標楷體"/>
                <w:kern w:val="0"/>
                <w:sz w:val="30"/>
                <w:szCs w:val="30"/>
              </w:rPr>
            </w:pPr>
            <w:r w:rsidRPr="007E2443">
              <w:rPr>
                <w:rFonts w:ascii="標楷體" w:eastAsia="標楷體" w:hAnsi="標楷體" w:cs="標楷體"/>
                <w:kern w:val="0"/>
                <w:sz w:val="30"/>
                <w:szCs w:val="30"/>
              </w:rPr>
              <w:t xml:space="preserve">123.92 </w:t>
            </w:r>
          </w:p>
        </w:tc>
        <w:tc>
          <w:tcPr>
            <w:tcW w:w="1200" w:type="dxa"/>
            <w:tcBorders>
              <w:bottom w:val="single" w:sz="12" w:space="0" w:color="auto"/>
            </w:tcBorders>
            <w:vAlign w:val="center"/>
          </w:tcPr>
          <w:p w:rsidR="006D7A0E" w:rsidRPr="007E2443" w:rsidRDefault="006D7A0E">
            <w:pPr>
              <w:jc w:val="center"/>
              <w:rPr>
                <w:rFonts w:ascii="標楷體" w:eastAsia="標楷體" w:hAnsi="標楷體" w:cs="標楷體"/>
                <w:kern w:val="0"/>
                <w:sz w:val="30"/>
                <w:szCs w:val="30"/>
              </w:rPr>
            </w:pPr>
            <w:r w:rsidRPr="007E2443">
              <w:rPr>
                <w:rFonts w:ascii="標楷體" w:eastAsia="標楷體" w:hAnsi="標楷體" w:cs="標楷體"/>
                <w:kern w:val="0"/>
                <w:sz w:val="30"/>
                <w:szCs w:val="30"/>
              </w:rPr>
              <w:t xml:space="preserve">121.38 </w:t>
            </w:r>
          </w:p>
        </w:tc>
        <w:tc>
          <w:tcPr>
            <w:tcW w:w="1200" w:type="dxa"/>
            <w:tcBorders>
              <w:bottom w:val="single" w:sz="12" w:space="0" w:color="auto"/>
            </w:tcBorders>
            <w:vAlign w:val="center"/>
          </w:tcPr>
          <w:p w:rsidR="006D7A0E" w:rsidRPr="007E2443" w:rsidRDefault="006D7A0E">
            <w:pPr>
              <w:jc w:val="center"/>
              <w:rPr>
                <w:rFonts w:ascii="標楷體" w:eastAsia="標楷體" w:hAnsi="標楷體" w:cs="標楷體"/>
                <w:kern w:val="0"/>
                <w:sz w:val="30"/>
                <w:szCs w:val="30"/>
              </w:rPr>
            </w:pPr>
            <w:r w:rsidRPr="007E2443">
              <w:rPr>
                <w:rFonts w:ascii="標楷體" w:eastAsia="標楷體" w:hAnsi="標楷體" w:cs="標楷體"/>
                <w:kern w:val="0"/>
                <w:sz w:val="30"/>
                <w:szCs w:val="30"/>
              </w:rPr>
              <w:t xml:space="preserve">122.58 </w:t>
            </w:r>
          </w:p>
        </w:tc>
      </w:tr>
    </w:tbl>
    <w:p w:rsidR="006D7A0E" w:rsidRPr="00E0247A" w:rsidRDefault="006D7A0E" w:rsidP="00EF0E69">
      <w:pPr>
        <w:adjustRightInd w:val="0"/>
        <w:snapToGrid w:val="0"/>
        <w:spacing w:line="400" w:lineRule="exact"/>
        <w:jc w:val="both"/>
        <w:outlineLvl w:val="0"/>
        <w:rPr>
          <w:rFonts w:ascii="標楷體" w:eastAsia="標楷體" w:hAnsi="標楷體" w:cs="Times New Roman"/>
          <w:b/>
          <w:bCs/>
          <w:sz w:val="32"/>
          <w:szCs w:val="32"/>
        </w:rPr>
      </w:pPr>
      <w:r w:rsidRPr="00C422E6">
        <w:rPr>
          <w:rFonts w:ascii="標楷體" w:eastAsia="標楷體" w:hAnsi="標楷體" w:cs="Times New Roman"/>
          <w:sz w:val="28"/>
          <w:szCs w:val="28"/>
        </w:rPr>
        <w:br w:type="page"/>
      </w:r>
      <w:bookmarkStart w:id="4" w:name="_Toc444595134"/>
      <w:r w:rsidRPr="00E0247A">
        <w:rPr>
          <w:rFonts w:ascii="標楷體" w:eastAsia="標楷體" w:hAnsi="標楷體" w:cs="標楷體" w:hint="eastAsia"/>
          <w:b/>
          <w:bCs/>
          <w:sz w:val="32"/>
          <w:szCs w:val="32"/>
        </w:rPr>
        <w:lastRenderedPageBreak/>
        <w:t>表</w:t>
      </w:r>
      <w:r w:rsidRPr="00E0247A">
        <w:rPr>
          <w:rFonts w:ascii="標楷體" w:eastAsia="標楷體" w:hAnsi="標楷體" w:cs="標楷體"/>
          <w:b/>
          <w:bCs/>
          <w:sz w:val="32"/>
          <w:szCs w:val="32"/>
        </w:rPr>
        <w:t xml:space="preserve">2     </w:t>
      </w:r>
      <w:r w:rsidRPr="00E0247A">
        <w:rPr>
          <w:rFonts w:ascii="標楷體" w:eastAsia="標楷體" w:hAnsi="標楷體" w:cs="標楷體" w:hint="eastAsia"/>
          <w:b/>
          <w:bCs/>
          <w:sz w:val="32"/>
          <w:szCs w:val="32"/>
        </w:rPr>
        <w:t>全國及</w:t>
      </w:r>
      <w:r w:rsidRPr="00E0247A">
        <w:rPr>
          <w:rFonts w:ascii="標楷體" w:eastAsia="標楷體" w:hAnsi="標楷體" w:cs="標楷體"/>
          <w:b/>
          <w:bCs/>
          <w:sz w:val="32"/>
          <w:szCs w:val="32"/>
        </w:rPr>
        <w:t>6</w:t>
      </w:r>
      <w:r w:rsidRPr="00E0247A">
        <w:rPr>
          <w:rFonts w:ascii="標楷體" w:eastAsia="標楷體" w:hAnsi="標楷體" w:cs="標楷體" w:hint="eastAsia"/>
          <w:b/>
          <w:bCs/>
          <w:sz w:val="32"/>
          <w:szCs w:val="32"/>
        </w:rPr>
        <w:t>直轄市住宅價格指數相對上季變動率表</w:t>
      </w:r>
      <w:bookmarkEnd w:id="4"/>
    </w:p>
    <w:p w:rsidR="006D7A0E" w:rsidRPr="00C422E6" w:rsidRDefault="006D7A0E" w:rsidP="00EB4BE5">
      <w:pPr>
        <w:adjustRightInd w:val="0"/>
        <w:snapToGrid w:val="0"/>
        <w:ind w:leftChars="-23" w:left="-55" w:right="91"/>
        <w:jc w:val="both"/>
        <w:rPr>
          <w:rFonts w:ascii="標楷體" w:eastAsia="標楷體" w:hAnsi="標楷體" w:cs="Times New Roman"/>
          <w:kern w:val="0"/>
          <w:sz w:val="28"/>
          <w:szCs w:val="28"/>
        </w:rPr>
      </w:pPr>
      <w:r w:rsidRPr="00C422E6">
        <w:rPr>
          <w:rFonts w:ascii="標楷體" w:eastAsia="標楷體" w:hAnsi="標楷體" w:cs="標楷體"/>
          <w:kern w:val="0"/>
          <w:sz w:val="28"/>
          <w:szCs w:val="28"/>
        </w:rPr>
        <w:t xml:space="preserve">                                                            </w:t>
      </w:r>
      <w:r w:rsidRPr="00C422E6">
        <w:rPr>
          <w:rFonts w:ascii="標楷體" w:eastAsia="標楷體" w:hAnsi="標楷體" w:cs="標楷體" w:hint="eastAsia"/>
          <w:kern w:val="0"/>
          <w:sz w:val="28"/>
          <w:szCs w:val="28"/>
        </w:rPr>
        <w:t>單位：％</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93"/>
        <w:gridCol w:w="1189"/>
        <w:gridCol w:w="1192"/>
        <w:gridCol w:w="1192"/>
        <w:gridCol w:w="1190"/>
        <w:gridCol w:w="1194"/>
        <w:gridCol w:w="1194"/>
        <w:gridCol w:w="1182"/>
      </w:tblGrid>
      <w:tr w:rsidR="006D7A0E" w:rsidRPr="00C422E6">
        <w:trPr>
          <w:trHeight w:val="822"/>
          <w:jc w:val="center"/>
        </w:trPr>
        <w:tc>
          <w:tcPr>
            <w:tcW w:w="672" w:type="pct"/>
            <w:vAlign w:val="center"/>
          </w:tcPr>
          <w:p w:rsidR="006D7A0E" w:rsidRPr="002F43CB" w:rsidRDefault="006D7A0E" w:rsidP="003A1C1A">
            <w:pPr>
              <w:widowControl/>
              <w:adjustRightInd w:val="0"/>
              <w:snapToGrid w:val="0"/>
              <w:spacing w:line="420" w:lineRule="exact"/>
              <w:jc w:val="both"/>
              <w:rPr>
                <w:rFonts w:ascii="標楷體" w:eastAsia="標楷體" w:hAnsi="標楷體" w:cs="Times New Roman"/>
                <w:b/>
                <w:bCs/>
                <w:color w:val="000000"/>
                <w:kern w:val="0"/>
                <w:sz w:val="32"/>
                <w:szCs w:val="32"/>
              </w:rPr>
            </w:pPr>
          </w:p>
        </w:tc>
        <w:tc>
          <w:tcPr>
            <w:tcW w:w="618" w:type="pct"/>
            <w:vAlign w:val="center"/>
          </w:tcPr>
          <w:p w:rsidR="006D7A0E" w:rsidRPr="002F43CB" w:rsidRDefault="006D7A0E"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全　國</w:t>
            </w:r>
          </w:p>
        </w:tc>
        <w:tc>
          <w:tcPr>
            <w:tcW w:w="619" w:type="pct"/>
            <w:vAlign w:val="center"/>
          </w:tcPr>
          <w:p w:rsidR="006D7A0E" w:rsidRPr="002F43CB" w:rsidRDefault="006D7A0E"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新北市</w:t>
            </w:r>
          </w:p>
        </w:tc>
        <w:tc>
          <w:tcPr>
            <w:tcW w:w="619" w:type="pct"/>
            <w:vAlign w:val="center"/>
          </w:tcPr>
          <w:p w:rsidR="006D7A0E" w:rsidRPr="002F43CB" w:rsidRDefault="006D7A0E"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臺北市</w:t>
            </w:r>
          </w:p>
        </w:tc>
        <w:tc>
          <w:tcPr>
            <w:tcW w:w="618" w:type="pct"/>
            <w:vAlign w:val="center"/>
          </w:tcPr>
          <w:p w:rsidR="006D7A0E" w:rsidRPr="002F43CB" w:rsidRDefault="006D7A0E"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桃園市</w:t>
            </w:r>
          </w:p>
        </w:tc>
        <w:tc>
          <w:tcPr>
            <w:tcW w:w="620" w:type="pct"/>
            <w:vAlign w:val="center"/>
          </w:tcPr>
          <w:p w:rsidR="006D7A0E" w:rsidRPr="002F43CB" w:rsidRDefault="006D7A0E"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臺中市</w:t>
            </w:r>
          </w:p>
        </w:tc>
        <w:tc>
          <w:tcPr>
            <w:tcW w:w="620" w:type="pct"/>
            <w:vAlign w:val="center"/>
          </w:tcPr>
          <w:p w:rsidR="006D7A0E" w:rsidRPr="002F43CB" w:rsidRDefault="006D7A0E"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臺南市</w:t>
            </w:r>
          </w:p>
        </w:tc>
        <w:tc>
          <w:tcPr>
            <w:tcW w:w="614" w:type="pct"/>
            <w:vAlign w:val="center"/>
          </w:tcPr>
          <w:p w:rsidR="006D7A0E" w:rsidRPr="002F43CB" w:rsidRDefault="006D7A0E"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2F43CB">
              <w:rPr>
                <w:rFonts w:ascii="標楷體" w:eastAsia="標楷體" w:hAnsi="標楷體" w:cs="標楷體" w:hint="eastAsia"/>
                <w:b/>
                <w:bCs/>
                <w:color w:val="000000"/>
                <w:kern w:val="0"/>
                <w:sz w:val="32"/>
                <w:szCs w:val="32"/>
              </w:rPr>
              <w:t>高雄市</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4.70</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4.94</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4.92</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7.62</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2.23</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5.43</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7.22</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2.56</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2.36</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2.79</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5.65</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5.00</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3.79</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3.90</w:t>
            </w:r>
          </w:p>
        </w:tc>
      </w:tr>
      <w:tr w:rsidR="006D7A0E" w:rsidRPr="00C422E6">
        <w:trPr>
          <w:trHeight w:val="75"/>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2.07</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3.58</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2.19</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0.15</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1.39</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1.68</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4.57</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3.59</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2.72</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3.11</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4.98</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6.80</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4.83</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3.04</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1.73</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2.22</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0.81</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0.80</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4.02</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2.61</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1.61</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2.11</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-0.56</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0.59</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2.60</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0.15</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2.66</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0.91</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1.43</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0.77</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-1.66</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4.09</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2.71</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1.33</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5.43</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1.71</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-0.76</w:t>
            </w:r>
          </w:p>
        </w:tc>
        <w:tc>
          <w:tcPr>
            <w:tcW w:w="619"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-0.99</w:t>
            </w:r>
          </w:p>
        </w:tc>
        <w:tc>
          <w:tcPr>
            <w:tcW w:w="618"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-1.90</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5.77</w:t>
            </w:r>
          </w:p>
        </w:tc>
        <w:tc>
          <w:tcPr>
            <w:tcW w:w="620"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5.13</w:t>
            </w:r>
          </w:p>
        </w:tc>
        <w:tc>
          <w:tcPr>
            <w:tcW w:w="614"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1.39</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-0.62</w:t>
            </w:r>
          </w:p>
        </w:tc>
        <w:tc>
          <w:tcPr>
            <w:tcW w:w="619"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0.14</w:t>
            </w:r>
          </w:p>
        </w:tc>
        <w:tc>
          <w:tcPr>
            <w:tcW w:w="619"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0.53</w:t>
            </w:r>
          </w:p>
        </w:tc>
        <w:tc>
          <w:tcPr>
            <w:tcW w:w="618"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1.19</w:t>
            </w:r>
          </w:p>
        </w:tc>
        <w:tc>
          <w:tcPr>
            <w:tcW w:w="620"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-0.17</w:t>
            </w:r>
          </w:p>
        </w:tc>
        <w:tc>
          <w:tcPr>
            <w:tcW w:w="620"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-1.26</w:t>
            </w:r>
          </w:p>
        </w:tc>
        <w:tc>
          <w:tcPr>
            <w:tcW w:w="614"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0.84</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-0.07</w:t>
            </w:r>
          </w:p>
        </w:tc>
        <w:tc>
          <w:tcPr>
            <w:tcW w:w="619"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-0.27</w:t>
            </w:r>
          </w:p>
        </w:tc>
        <w:tc>
          <w:tcPr>
            <w:tcW w:w="619"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-1.25</w:t>
            </w:r>
          </w:p>
        </w:tc>
        <w:tc>
          <w:tcPr>
            <w:tcW w:w="618"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-0.84</w:t>
            </w:r>
          </w:p>
        </w:tc>
        <w:tc>
          <w:tcPr>
            <w:tcW w:w="620"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-2.83</w:t>
            </w:r>
          </w:p>
        </w:tc>
        <w:tc>
          <w:tcPr>
            <w:tcW w:w="620"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-0.84</w:t>
            </w:r>
          </w:p>
        </w:tc>
        <w:tc>
          <w:tcPr>
            <w:tcW w:w="614"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-0.12</w:t>
            </w:r>
          </w:p>
        </w:tc>
      </w:tr>
      <w:tr w:rsidR="006D7A0E" w:rsidRPr="00C422E6">
        <w:trPr>
          <w:trHeight w:val="662"/>
          <w:jc w:val="center"/>
        </w:trPr>
        <w:tc>
          <w:tcPr>
            <w:tcW w:w="672" w:type="pct"/>
            <w:vAlign w:val="center"/>
          </w:tcPr>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3A1C1A">
            <w:pPr>
              <w:widowControl/>
              <w:adjustRightInd w:val="0"/>
              <w:snapToGrid w:val="0"/>
              <w:spacing w:line="420" w:lineRule="exac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8"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-0.48</w:t>
            </w:r>
          </w:p>
        </w:tc>
        <w:tc>
          <w:tcPr>
            <w:tcW w:w="619"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-1.86</w:t>
            </w:r>
          </w:p>
        </w:tc>
        <w:tc>
          <w:tcPr>
            <w:tcW w:w="619"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-3.51</w:t>
            </w:r>
          </w:p>
        </w:tc>
        <w:tc>
          <w:tcPr>
            <w:tcW w:w="618"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-0.91</w:t>
            </w:r>
          </w:p>
        </w:tc>
        <w:tc>
          <w:tcPr>
            <w:tcW w:w="620"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-1.58</w:t>
            </w:r>
          </w:p>
        </w:tc>
        <w:tc>
          <w:tcPr>
            <w:tcW w:w="620"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-0.55</w:t>
            </w:r>
          </w:p>
        </w:tc>
        <w:tc>
          <w:tcPr>
            <w:tcW w:w="614" w:type="pct"/>
            <w:vAlign w:val="center"/>
          </w:tcPr>
          <w:p w:rsidR="006D7A0E" w:rsidRPr="00C422E6" w:rsidRDefault="006D7A0E" w:rsidP="003A1C1A">
            <w:pPr>
              <w:spacing w:line="420" w:lineRule="exac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-1.07</w:t>
            </w:r>
          </w:p>
        </w:tc>
      </w:tr>
      <w:tr w:rsidR="006D7A0E" w:rsidRPr="00C422E6">
        <w:trPr>
          <w:trHeight w:val="662"/>
          <w:jc w:val="center"/>
        </w:trPr>
        <w:tc>
          <w:tcPr>
            <w:tcW w:w="672" w:type="pct"/>
            <w:vAlign w:val="center"/>
          </w:tcPr>
          <w:p w:rsidR="006D7A0E" w:rsidRPr="007E2443" w:rsidRDefault="006D7A0E" w:rsidP="003A1C1A">
            <w:pPr>
              <w:widowControl/>
              <w:adjustRightInd w:val="0"/>
              <w:snapToGrid w:val="0"/>
              <w:spacing w:line="420" w:lineRule="exact"/>
              <w:jc w:val="center"/>
              <w:rPr>
                <w:rFonts w:ascii="標楷體" w:eastAsia="標楷體" w:hAnsi="標楷體" w:cs="Times New Roman"/>
                <w:kern w:val="0"/>
                <w:sz w:val="32"/>
                <w:szCs w:val="32"/>
              </w:rPr>
            </w:pPr>
            <w:r w:rsidRPr="007E2443">
              <w:rPr>
                <w:rFonts w:ascii="標楷體" w:eastAsia="標楷體" w:hAnsi="標楷體" w:cs="標楷體"/>
                <w:kern w:val="0"/>
                <w:sz w:val="32"/>
                <w:szCs w:val="32"/>
              </w:rPr>
              <w:t>105</w:t>
            </w:r>
            <w:r w:rsidRPr="007E2443">
              <w:rPr>
                <w:rFonts w:ascii="標楷體" w:eastAsia="標楷體" w:hAnsi="標楷體" w:cs="標楷體" w:hint="eastAsia"/>
                <w:kern w:val="0"/>
                <w:sz w:val="32"/>
                <w:szCs w:val="32"/>
              </w:rPr>
              <w:t>年</w:t>
            </w:r>
          </w:p>
          <w:p w:rsidR="006D7A0E" w:rsidRPr="007E2443" w:rsidRDefault="006D7A0E" w:rsidP="003A1C1A">
            <w:pPr>
              <w:widowControl/>
              <w:adjustRightInd w:val="0"/>
              <w:snapToGrid w:val="0"/>
              <w:spacing w:line="420" w:lineRule="exact"/>
              <w:jc w:val="center"/>
              <w:rPr>
                <w:rFonts w:ascii="標楷體" w:eastAsia="標楷體" w:hAnsi="標楷體" w:cs="Times New Roman"/>
                <w:kern w:val="0"/>
                <w:sz w:val="32"/>
                <w:szCs w:val="32"/>
              </w:rPr>
            </w:pPr>
            <w:r w:rsidRPr="007E2443">
              <w:rPr>
                <w:rFonts w:ascii="標楷體" w:eastAsia="標楷體" w:hAnsi="標楷體" w:cs="標楷體" w:hint="eastAsia"/>
                <w:kern w:val="0"/>
                <w:sz w:val="32"/>
                <w:szCs w:val="32"/>
              </w:rPr>
              <w:t>第</w:t>
            </w:r>
            <w:r w:rsidRPr="007E2443">
              <w:rPr>
                <w:rFonts w:ascii="標楷體" w:eastAsia="標楷體" w:hAnsi="標楷體" w:cs="標楷體"/>
                <w:kern w:val="0"/>
                <w:sz w:val="32"/>
                <w:szCs w:val="32"/>
              </w:rPr>
              <w:t>1</w:t>
            </w:r>
            <w:r w:rsidRPr="007E2443">
              <w:rPr>
                <w:rFonts w:ascii="標楷體" w:eastAsia="標楷體" w:hAnsi="標楷體" w:cs="標楷體" w:hint="eastAsia"/>
                <w:kern w:val="0"/>
                <w:sz w:val="32"/>
                <w:szCs w:val="32"/>
              </w:rPr>
              <w:t>季</w:t>
            </w:r>
          </w:p>
        </w:tc>
        <w:tc>
          <w:tcPr>
            <w:tcW w:w="618"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-0.15</w:t>
            </w:r>
          </w:p>
        </w:tc>
        <w:tc>
          <w:tcPr>
            <w:tcW w:w="619"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-0.18</w:t>
            </w:r>
          </w:p>
        </w:tc>
        <w:tc>
          <w:tcPr>
            <w:tcW w:w="619"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-1.31</w:t>
            </w:r>
          </w:p>
        </w:tc>
        <w:tc>
          <w:tcPr>
            <w:tcW w:w="618"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-0.81</w:t>
            </w:r>
          </w:p>
        </w:tc>
        <w:tc>
          <w:tcPr>
            <w:tcW w:w="620"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-0.40</w:t>
            </w:r>
          </w:p>
        </w:tc>
        <w:tc>
          <w:tcPr>
            <w:tcW w:w="620"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-0.04</w:t>
            </w:r>
          </w:p>
        </w:tc>
        <w:tc>
          <w:tcPr>
            <w:tcW w:w="614"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-1.27</w:t>
            </w:r>
          </w:p>
        </w:tc>
      </w:tr>
      <w:tr w:rsidR="006D7A0E" w:rsidRPr="00C422E6">
        <w:trPr>
          <w:trHeight w:val="662"/>
          <w:jc w:val="center"/>
        </w:trPr>
        <w:tc>
          <w:tcPr>
            <w:tcW w:w="672" w:type="pct"/>
            <w:vAlign w:val="center"/>
          </w:tcPr>
          <w:p w:rsidR="006D7A0E" w:rsidRPr="007E2443" w:rsidRDefault="006D7A0E" w:rsidP="003A1C1A">
            <w:pPr>
              <w:widowControl/>
              <w:adjustRightInd w:val="0"/>
              <w:snapToGrid w:val="0"/>
              <w:spacing w:line="420" w:lineRule="exact"/>
              <w:jc w:val="center"/>
              <w:rPr>
                <w:rFonts w:ascii="標楷體" w:eastAsia="標楷體" w:hAnsi="標楷體" w:cs="Times New Roman"/>
                <w:kern w:val="0"/>
                <w:sz w:val="32"/>
                <w:szCs w:val="32"/>
              </w:rPr>
            </w:pPr>
            <w:r w:rsidRPr="007E2443">
              <w:rPr>
                <w:rFonts w:ascii="標楷體" w:eastAsia="標楷體" w:hAnsi="標楷體" w:cs="標楷體"/>
                <w:kern w:val="0"/>
                <w:sz w:val="32"/>
                <w:szCs w:val="32"/>
              </w:rPr>
              <w:t>105</w:t>
            </w:r>
            <w:r w:rsidRPr="007E2443">
              <w:rPr>
                <w:rFonts w:ascii="標楷體" w:eastAsia="標楷體" w:hAnsi="標楷體" w:cs="標楷體" w:hint="eastAsia"/>
                <w:kern w:val="0"/>
                <w:sz w:val="32"/>
                <w:szCs w:val="32"/>
              </w:rPr>
              <w:t>年</w:t>
            </w:r>
          </w:p>
          <w:p w:rsidR="006D7A0E" w:rsidRPr="007E2443" w:rsidRDefault="006D7A0E" w:rsidP="003A1C1A">
            <w:pPr>
              <w:widowControl/>
              <w:adjustRightInd w:val="0"/>
              <w:snapToGrid w:val="0"/>
              <w:spacing w:line="420" w:lineRule="exact"/>
              <w:jc w:val="center"/>
              <w:rPr>
                <w:rFonts w:ascii="標楷體" w:eastAsia="標楷體" w:hAnsi="標楷體" w:cs="Times New Roman"/>
                <w:kern w:val="0"/>
                <w:sz w:val="32"/>
                <w:szCs w:val="32"/>
              </w:rPr>
            </w:pPr>
            <w:r w:rsidRPr="007E2443">
              <w:rPr>
                <w:rFonts w:ascii="標楷體" w:eastAsia="標楷體" w:hAnsi="標楷體" w:cs="標楷體" w:hint="eastAsia"/>
                <w:kern w:val="0"/>
                <w:sz w:val="32"/>
                <w:szCs w:val="32"/>
              </w:rPr>
              <w:t>第</w:t>
            </w:r>
            <w:r w:rsidRPr="007E2443">
              <w:rPr>
                <w:rFonts w:ascii="標楷體" w:eastAsia="標楷體" w:hAnsi="標楷體" w:cs="標楷體"/>
                <w:kern w:val="0"/>
                <w:sz w:val="32"/>
                <w:szCs w:val="32"/>
              </w:rPr>
              <w:t>2</w:t>
            </w:r>
            <w:r w:rsidRPr="007E2443">
              <w:rPr>
                <w:rFonts w:ascii="標楷體" w:eastAsia="標楷體" w:hAnsi="標楷體" w:cs="標楷體" w:hint="eastAsia"/>
                <w:kern w:val="0"/>
                <w:sz w:val="32"/>
                <w:szCs w:val="32"/>
              </w:rPr>
              <w:t>季</w:t>
            </w:r>
          </w:p>
        </w:tc>
        <w:tc>
          <w:tcPr>
            <w:tcW w:w="618"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1.17</w:t>
            </w:r>
          </w:p>
        </w:tc>
        <w:tc>
          <w:tcPr>
            <w:tcW w:w="619"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-0.52</w:t>
            </w:r>
          </w:p>
        </w:tc>
        <w:tc>
          <w:tcPr>
            <w:tcW w:w="619"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0.20</w:t>
            </w:r>
          </w:p>
        </w:tc>
        <w:tc>
          <w:tcPr>
            <w:tcW w:w="618"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-2.16</w:t>
            </w:r>
          </w:p>
        </w:tc>
        <w:tc>
          <w:tcPr>
            <w:tcW w:w="620"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2.01</w:t>
            </w:r>
          </w:p>
        </w:tc>
        <w:tc>
          <w:tcPr>
            <w:tcW w:w="620"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1.64</w:t>
            </w:r>
          </w:p>
        </w:tc>
        <w:tc>
          <w:tcPr>
            <w:tcW w:w="614" w:type="pct"/>
            <w:vAlign w:val="center"/>
          </w:tcPr>
          <w:p w:rsidR="006D7A0E" w:rsidRPr="007E2443" w:rsidRDefault="006D7A0E" w:rsidP="003A1C1A">
            <w:pPr>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1.80</w:t>
            </w:r>
          </w:p>
        </w:tc>
      </w:tr>
      <w:tr w:rsidR="006D7A0E" w:rsidRPr="00A6698E">
        <w:trPr>
          <w:trHeight w:val="662"/>
          <w:jc w:val="center"/>
        </w:trPr>
        <w:tc>
          <w:tcPr>
            <w:tcW w:w="672" w:type="pct"/>
            <w:vAlign w:val="center"/>
          </w:tcPr>
          <w:p w:rsidR="006D7A0E" w:rsidRPr="007E2443" w:rsidRDefault="006D7A0E" w:rsidP="003A1C1A">
            <w:pPr>
              <w:widowControl/>
              <w:adjustRightInd w:val="0"/>
              <w:snapToGrid w:val="0"/>
              <w:spacing w:line="420" w:lineRule="exact"/>
              <w:jc w:val="center"/>
              <w:rPr>
                <w:rFonts w:ascii="標楷體" w:eastAsia="標楷體" w:hAnsi="標楷體" w:cs="Times New Roman"/>
                <w:kern w:val="0"/>
                <w:sz w:val="32"/>
                <w:szCs w:val="32"/>
              </w:rPr>
            </w:pPr>
            <w:r w:rsidRPr="007E2443">
              <w:rPr>
                <w:rFonts w:ascii="標楷體" w:eastAsia="標楷體" w:hAnsi="標楷體" w:cs="標楷體"/>
                <w:kern w:val="0"/>
                <w:sz w:val="32"/>
                <w:szCs w:val="32"/>
              </w:rPr>
              <w:t>105</w:t>
            </w:r>
            <w:r w:rsidRPr="007E2443">
              <w:rPr>
                <w:rFonts w:ascii="標楷體" w:eastAsia="標楷體" w:hAnsi="標楷體" w:cs="標楷體" w:hint="eastAsia"/>
                <w:kern w:val="0"/>
                <w:sz w:val="32"/>
                <w:szCs w:val="32"/>
              </w:rPr>
              <w:t>年</w:t>
            </w:r>
          </w:p>
          <w:p w:rsidR="006D7A0E" w:rsidRPr="007E2443" w:rsidRDefault="006D7A0E" w:rsidP="003A1C1A">
            <w:pPr>
              <w:widowControl/>
              <w:adjustRightInd w:val="0"/>
              <w:snapToGrid w:val="0"/>
              <w:spacing w:line="420" w:lineRule="exact"/>
              <w:jc w:val="center"/>
              <w:rPr>
                <w:rFonts w:ascii="標楷體" w:eastAsia="標楷體" w:hAnsi="標楷體" w:cs="Times New Roman"/>
                <w:kern w:val="0"/>
                <w:sz w:val="32"/>
                <w:szCs w:val="32"/>
              </w:rPr>
            </w:pPr>
            <w:r w:rsidRPr="007E2443">
              <w:rPr>
                <w:rFonts w:ascii="標楷體" w:eastAsia="標楷體" w:hAnsi="標楷體" w:cs="標楷體" w:hint="eastAsia"/>
                <w:kern w:val="0"/>
                <w:sz w:val="32"/>
                <w:szCs w:val="32"/>
              </w:rPr>
              <w:t>第</w:t>
            </w:r>
            <w:r w:rsidRPr="007E2443">
              <w:rPr>
                <w:rFonts w:ascii="標楷體" w:eastAsia="標楷體" w:hAnsi="標楷體" w:cs="標楷體"/>
                <w:kern w:val="0"/>
                <w:sz w:val="32"/>
                <w:szCs w:val="32"/>
              </w:rPr>
              <w:t>3</w:t>
            </w:r>
            <w:r w:rsidRPr="007E2443">
              <w:rPr>
                <w:rFonts w:ascii="標楷體" w:eastAsia="標楷體" w:hAnsi="標楷體" w:cs="標楷體" w:hint="eastAsia"/>
                <w:kern w:val="0"/>
                <w:sz w:val="32"/>
                <w:szCs w:val="32"/>
              </w:rPr>
              <w:t>季</w:t>
            </w:r>
          </w:p>
        </w:tc>
        <w:tc>
          <w:tcPr>
            <w:tcW w:w="618" w:type="pct"/>
            <w:vAlign w:val="center"/>
          </w:tcPr>
          <w:p w:rsidR="006D7A0E" w:rsidRPr="007E2443" w:rsidRDefault="006D7A0E" w:rsidP="007E2443">
            <w:pPr>
              <w:adjustRightInd w:val="0"/>
              <w:snapToGrid w:val="0"/>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0.13</w:t>
            </w:r>
          </w:p>
        </w:tc>
        <w:tc>
          <w:tcPr>
            <w:tcW w:w="619" w:type="pct"/>
            <w:vAlign w:val="center"/>
          </w:tcPr>
          <w:p w:rsidR="006D7A0E" w:rsidRPr="007E2443" w:rsidRDefault="006D7A0E" w:rsidP="007E2443">
            <w:pPr>
              <w:adjustRightInd w:val="0"/>
              <w:snapToGrid w:val="0"/>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-0.13</w:t>
            </w:r>
          </w:p>
        </w:tc>
        <w:tc>
          <w:tcPr>
            <w:tcW w:w="619" w:type="pct"/>
            <w:vAlign w:val="center"/>
          </w:tcPr>
          <w:p w:rsidR="006D7A0E" w:rsidRPr="007E2443" w:rsidRDefault="006D7A0E" w:rsidP="007E2443">
            <w:pPr>
              <w:adjustRightInd w:val="0"/>
              <w:snapToGrid w:val="0"/>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-0.07</w:t>
            </w:r>
          </w:p>
        </w:tc>
        <w:tc>
          <w:tcPr>
            <w:tcW w:w="618" w:type="pct"/>
            <w:vAlign w:val="center"/>
          </w:tcPr>
          <w:p w:rsidR="006D7A0E" w:rsidRPr="007E2443" w:rsidRDefault="006D7A0E" w:rsidP="007E2443">
            <w:pPr>
              <w:adjustRightInd w:val="0"/>
              <w:snapToGrid w:val="0"/>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2.19</w:t>
            </w:r>
          </w:p>
        </w:tc>
        <w:tc>
          <w:tcPr>
            <w:tcW w:w="620" w:type="pct"/>
            <w:vAlign w:val="center"/>
          </w:tcPr>
          <w:p w:rsidR="006D7A0E" w:rsidRPr="007E2443" w:rsidRDefault="006D7A0E" w:rsidP="007E2443">
            <w:pPr>
              <w:adjustRightInd w:val="0"/>
              <w:snapToGrid w:val="0"/>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0.69</w:t>
            </w:r>
          </w:p>
        </w:tc>
        <w:tc>
          <w:tcPr>
            <w:tcW w:w="620" w:type="pct"/>
            <w:vAlign w:val="center"/>
          </w:tcPr>
          <w:p w:rsidR="006D7A0E" w:rsidRPr="007E2443" w:rsidRDefault="006D7A0E" w:rsidP="007E2443">
            <w:pPr>
              <w:adjustRightInd w:val="0"/>
              <w:snapToGrid w:val="0"/>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0.16</w:t>
            </w:r>
          </w:p>
        </w:tc>
        <w:tc>
          <w:tcPr>
            <w:tcW w:w="614" w:type="pct"/>
            <w:vAlign w:val="center"/>
          </w:tcPr>
          <w:p w:rsidR="006D7A0E" w:rsidRPr="007E2443" w:rsidRDefault="006D7A0E" w:rsidP="007E2443">
            <w:pPr>
              <w:adjustRightInd w:val="0"/>
              <w:snapToGrid w:val="0"/>
              <w:spacing w:line="420" w:lineRule="exac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1.02</w:t>
            </w:r>
          </w:p>
        </w:tc>
      </w:tr>
    </w:tbl>
    <w:p w:rsidR="006D7A0E" w:rsidRPr="00E0247A" w:rsidRDefault="006D7A0E" w:rsidP="007F5B21">
      <w:pPr>
        <w:spacing w:beforeLines="50" w:before="120" w:afterLines="50" w:after="120"/>
        <w:jc w:val="both"/>
        <w:rPr>
          <w:rFonts w:ascii="標楷體" w:eastAsia="標楷體" w:hAnsi="標楷體" w:cs="Times New Roman"/>
          <w:b/>
          <w:bCs/>
          <w:sz w:val="32"/>
          <w:szCs w:val="32"/>
        </w:rPr>
      </w:pPr>
      <w:r w:rsidRPr="00C422E6">
        <w:rPr>
          <w:rFonts w:ascii="標楷體" w:eastAsia="標楷體" w:hAnsi="標楷體" w:cs="標楷體" w:hint="eastAsia"/>
          <w:sz w:val="28"/>
          <w:szCs w:val="28"/>
        </w:rPr>
        <w:t>註：「本季對上季變動率」之計算公式：</w:t>
      </w:r>
      <w:r w:rsidRPr="00C422E6">
        <w:rPr>
          <w:rFonts w:ascii="標楷體" w:eastAsia="標楷體" w:hAnsi="標楷體" w:cs="Times New Roman"/>
          <w:position w:val="-28"/>
          <w:sz w:val="32"/>
          <w:szCs w:val="32"/>
        </w:rPr>
        <w:object w:dxaOrig="3159" w:dyaOrig="660">
          <v:shape id="_x0000_i1025" type="#_x0000_t75" style="width:156.75pt;height:33pt" o:ole="">
            <v:imagedata r:id="rId9" o:title=""/>
          </v:shape>
          <o:OLEObject Type="Embed" ProgID="Equation.3" ShapeID="_x0000_i1025" DrawAspect="Content" ObjectID="_1559651273" r:id="rId10"/>
        </w:object>
      </w:r>
      <w:r w:rsidRPr="00C422E6">
        <w:rPr>
          <w:rFonts w:ascii="標楷體" w:eastAsia="標楷體" w:hAnsi="標楷體" w:cs="Times New Roman"/>
        </w:rPr>
        <w:br w:type="page"/>
      </w:r>
      <w:bookmarkStart w:id="5" w:name="_Toc444595135"/>
      <w:r w:rsidRPr="00E0247A">
        <w:rPr>
          <w:rFonts w:ascii="標楷體" w:eastAsia="標楷體" w:hAnsi="標楷體" w:cs="標楷體" w:hint="eastAsia"/>
          <w:b/>
          <w:bCs/>
          <w:sz w:val="32"/>
          <w:szCs w:val="32"/>
        </w:rPr>
        <w:lastRenderedPageBreak/>
        <w:t>表</w:t>
      </w:r>
      <w:r w:rsidRPr="00E0247A">
        <w:rPr>
          <w:rFonts w:ascii="標楷體" w:eastAsia="標楷體" w:hAnsi="標楷體" w:cs="標楷體"/>
          <w:b/>
          <w:bCs/>
          <w:sz w:val="32"/>
          <w:szCs w:val="32"/>
        </w:rPr>
        <w:t>3</w:t>
      </w:r>
      <w:r w:rsidRPr="00C422E6">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C422E6">
        <w:rPr>
          <w:rFonts w:ascii="標楷體" w:eastAsia="標楷體" w:hAnsi="標楷體" w:cs="標楷體"/>
          <w:sz w:val="32"/>
          <w:szCs w:val="32"/>
        </w:rPr>
        <w:t xml:space="preserve"> </w:t>
      </w:r>
      <w:r w:rsidRPr="00E0247A">
        <w:rPr>
          <w:rFonts w:ascii="標楷體" w:eastAsia="標楷體" w:hAnsi="標楷體" w:cs="標楷體" w:hint="eastAsia"/>
          <w:b/>
          <w:bCs/>
          <w:sz w:val="32"/>
          <w:szCs w:val="32"/>
        </w:rPr>
        <w:t>全國及</w:t>
      </w:r>
      <w:r w:rsidRPr="00E0247A">
        <w:rPr>
          <w:rFonts w:ascii="標楷體" w:eastAsia="標楷體" w:hAnsi="標楷體" w:cs="標楷體"/>
          <w:b/>
          <w:bCs/>
          <w:sz w:val="32"/>
          <w:szCs w:val="32"/>
        </w:rPr>
        <w:t>6</w:t>
      </w:r>
      <w:r w:rsidRPr="00E0247A">
        <w:rPr>
          <w:rFonts w:ascii="標楷體" w:eastAsia="標楷體" w:hAnsi="標楷體" w:cs="標楷體" w:hint="eastAsia"/>
          <w:b/>
          <w:bCs/>
          <w:sz w:val="32"/>
          <w:szCs w:val="32"/>
        </w:rPr>
        <w:t>直轄市住宅價格指數相對去年同季變動率表</w:t>
      </w:r>
      <w:bookmarkEnd w:id="5"/>
    </w:p>
    <w:p w:rsidR="006D7A0E" w:rsidRPr="00C422E6" w:rsidRDefault="006D7A0E" w:rsidP="00EB4BE5">
      <w:pPr>
        <w:adjustRightInd w:val="0"/>
        <w:snapToGrid w:val="0"/>
        <w:ind w:leftChars="-23" w:left="-55" w:right="91"/>
        <w:jc w:val="both"/>
        <w:rPr>
          <w:rFonts w:ascii="標楷體" w:eastAsia="標楷體" w:hAnsi="標楷體" w:cs="Times New Roman"/>
          <w:kern w:val="0"/>
          <w:sz w:val="28"/>
          <w:szCs w:val="28"/>
        </w:rPr>
      </w:pPr>
      <w:r w:rsidRPr="00C422E6">
        <w:rPr>
          <w:rFonts w:ascii="標楷體" w:eastAsia="標楷體" w:hAnsi="標楷體" w:cs="標楷體"/>
          <w:kern w:val="0"/>
          <w:sz w:val="28"/>
          <w:szCs w:val="28"/>
        </w:rPr>
        <w:t xml:space="preserve">                                                           </w:t>
      </w:r>
      <w:r w:rsidRPr="00C422E6">
        <w:rPr>
          <w:rFonts w:ascii="標楷體" w:eastAsia="標楷體" w:hAnsi="標楷體" w:cs="標楷體" w:hint="eastAsia"/>
          <w:kern w:val="0"/>
          <w:sz w:val="28"/>
          <w:szCs w:val="28"/>
        </w:rPr>
        <w:t>單位：％</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190"/>
        <w:gridCol w:w="1190"/>
        <w:gridCol w:w="1190"/>
        <w:gridCol w:w="1190"/>
        <w:gridCol w:w="1190"/>
        <w:gridCol w:w="1190"/>
        <w:gridCol w:w="1190"/>
      </w:tblGrid>
      <w:tr w:rsidR="006D7A0E" w:rsidRPr="00C422E6">
        <w:trPr>
          <w:trHeight w:val="662"/>
          <w:jc w:val="center"/>
        </w:trPr>
        <w:tc>
          <w:tcPr>
            <w:tcW w:w="666" w:type="pct"/>
            <w:vAlign w:val="center"/>
          </w:tcPr>
          <w:p w:rsidR="006D7A0E" w:rsidRPr="00C422E6" w:rsidRDefault="006D7A0E" w:rsidP="00EB4BE5">
            <w:pPr>
              <w:widowControl/>
              <w:adjustRightInd w:val="0"/>
              <w:snapToGrid w:val="0"/>
              <w:spacing w:line="240" w:lineRule="atLeast"/>
              <w:jc w:val="both"/>
              <w:rPr>
                <w:rFonts w:ascii="標楷體" w:eastAsia="標楷體" w:hAnsi="標楷體" w:cs="Times New Roman"/>
                <w:color w:val="000000"/>
                <w:kern w:val="0"/>
                <w:sz w:val="32"/>
                <w:szCs w:val="32"/>
              </w:rPr>
            </w:pPr>
          </w:p>
        </w:tc>
        <w:tc>
          <w:tcPr>
            <w:tcW w:w="619" w:type="pct"/>
            <w:vAlign w:val="center"/>
          </w:tcPr>
          <w:p w:rsidR="006D7A0E" w:rsidRPr="00C422E6" w:rsidRDefault="006D7A0E"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全　國</w:t>
            </w:r>
          </w:p>
        </w:tc>
        <w:tc>
          <w:tcPr>
            <w:tcW w:w="619" w:type="pct"/>
            <w:vAlign w:val="center"/>
          </w:tcPr>
          <w:p w:rsidR="006D7A0E" w:rsidRPr="00C422E6" w:rsidRDefault="006D7A0E"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新北市</w:t>
            </w:r>
          </w:p>
        </w:tc>
        <w:tc>
          <w:tcPr>
            <w:tcW w:w="619" w:type="pct"/>
            <w:vAlign w:val="center"/>
          </w:tcPr>
          <w:p w:rsidR="006D7A0E" w:rsidRPr="00C422E6" w:rsidRDefault="006D7A0E"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臺北市</w:t>
            </w:r>
          </w:p>
        </w:tc>
        <w:tc>
          <w:tcPr>
            <w:tcW w:w="619" w:type="pct"/>
            <w:vAlign w:val="center"/>
          </w:tcPr>
          <w:p w:rsidR="006D7A0E" w:rsidRPr="00C422E6" w:rsidRDefault="006D7A0E"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桃園市</w:t>
            </w:r>
          </w:p>
        </w:tc>
        <w:tc>
          <w:tcPr>
            <w:tcW w:w="619" w:type="pct"/>
            <w:vAlign w:val="center"/>
          </w:tcPr>
          <w:p w:rsidR="006D7A0E" w:rsidRPr="00C422E6" w:rsidRDefault="006D7A0E"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臺中市</w:t>
            </w:r>
          </w:p>
        </w:tc>
        <w:tc>
          <w:tcPr>
            <w:tcW w:w="619" w:type="pct"/>
            <w:vAlign w:val="center"/>
          </w:tcPr>
          <w:p w:rsidR="006D7A0E" w:rsidRPr="00C422E6" w:rsidRDefault="006D7A0E"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臺南市</w:t>
            </w:r>
          </w:p>
        </w:tc>
        <w:tc>
          <w:tcPr>
            <w:tcW w:w="619" w:type="pct"/>
            <w:vAlign w:val="center"/>
          </w:tcPr>
          <w:p w:rsidR="006D7A0E" w:rsidRPr="00C422E6" w:rsidRDefault="006D7A0E" w:rsidP="008557B4">
            <w:pPr>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高雄市</w:t>
            </w:r>
          </w:p>
        </w:tc>
      </w:tr>
      <w:tr w:rsidR="006D7A0E" w:rsidRPr="00C422E6">
        <w:trPr>
          <w:trHeight w:val="869"/>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12.63</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13.93</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11.49</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22.58</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14.46</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12.12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16.56</w:t>
            </w:r>
          </w:p>
        </w:tc>
      </w:tr>
      <w:tr w:rsidR="006D7A0E" w:rsidRPr="00C422E6">
        <w:trPr>
          <w:trHeight w:val="887"/>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102</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13.82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15.62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12.60</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21.50</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15.22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14.48</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18.99</w:t>
            </w:r>
          </w:p>
        </w:tc>
      </w:tr>
      <w:tr w:rsidR="006D7A0E" w:rsidRPr="00C422E6">
        <w:trPr>
          <w:trHeight w:val="891"/>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13.53</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14.28</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13.64</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19.54</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16.23</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16.63</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20.03</w:t>
            </w:r>
          </w:p>
        </w:tc>
      </w:tr>
      <w:tr w:rsidR="006D7A0E" w:rsidRPr="00C422E6">
        <w:trPr>
          <w:trHeight w:val="895"/>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10.31</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11.31</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9.19</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11.97</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18.27</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13.52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13.75</w:t>
            </w:r>
          </w:p>
        </w:tc>
      </w:tr>
      <w:tr w:rsidR="006D7A0E" w:rsidRPr="00C422E6">
        <w:trPr>
          <w:trHeight w:val="1061"/>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9.83</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8.14</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6.85</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8.74</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12.81</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12.28</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10.48</w:t>
            </w:r>
          </w:p>
        </w:tc>
      </w:tr>
      <w:tr w:rsidR="006D7A0E" w:rsidRPr="00C422E6">
        <w:trPr>
          <w:trHeight w:val="901"/>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103</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9.15</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5.21</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2.82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13.02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14.28</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11.9</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11.39</w:t>
            </w:r>
          </w:p>
        </w:tc>
      </w:tr>
      <w:tr w:rsidR="006D7A0E" w:rsidRPr="00C422E6">
        <w:trPr>
          <w:trHeight w:val="891"/>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1</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7.17</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1.65</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-1.27</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5.61</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13.17</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12.22</w:t>
            </w:r>
          </w:p>
        </w:tc>
        <w:tc>
          <w:tcPr>
            <w:tcW w:w="619"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9.61</w:t>
            </w:r>
          </w:p>
        </w:tc>
      </w:tr>
      <w:tr w:rsidR="006D7A0E" w:rsidRPr="00C422E6">
        <w:trPr>
          <w:trHeight w:val="888"/>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2</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4.7</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-0.42</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-1.54</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6.02</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8.61</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7.99</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8.78</w:t>
            </w:r>
          </w:p>
        </w:tc>
      </w:tr>
      <w:tr w:rsidR="006D7A0E" w:rsidRPr="00C422E6">
        <w:trPr>
          <w:trHeight w:val="662"/>
          <w:jc w:val="center"/>
        </w:trPr>
        <w:tc>
          <w:tcPr>
            <w:tcW w:w="666" w:type="pct"/>
            <w:vAlign w:val="center"/>
          </w:tcPr>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3</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2.46</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-0.13</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-3.34</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2.47</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5.38</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4.30</w:t>
            </w:r>
          </w:p>
        </w:tc>
        <w:tc>
          <w:tcPr>
            <w:tcW w:w="619" w:type="pct"/>
            <w:vAlign w:val="center"/>
          </w:tcPr>
          <w:p w:rsidR="006D7A0E" w:rsidRPr="00C422E6" w:rsidRDefault="006D7A0E" w:rsidP="008557B4">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7.67</w:t>
            </w:r>
          </w:p>
        </w:tc>
      </w:tr>
      <w:tr w:rsidR="006D7A0E" w:rsidRPr="00C422E6">
        <w:trPr>
          <w:trHeight w:val="1007"/>
          <w:jc w:val="center"/>
        </w:trPr>
        <w:tc>
          <w:tcPr>
            <w:tcW w:w="666" w:type="pct"/>
            <w:vAlign w:val="center"/>
          </w:tcPr>
          <w:p w:rsidR="006D7A0E" w:rsidRPr="00C422E6" w:rsidRDefault="006D7A0E"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color w:val="000000"/>
                <w:kern w:val="0"/>
                <w:sz w:val="32"/>
                <w:szCs w:val="32"/>
              </w:rPr>
              <w:t>104</w:t>
            </w:r>
            <w:r w:rsidRPr="00C422E6">
              <w:rPr>
                <w:rFonts w:ascii="標楷體" w:eastAsia="標楷體" w:hAnsi="標楷體" w:cs="標楷體" w:hint="eastAsia"/>
                <w:color w:val="000000"/>
                <w:kern w:val="0"/>
                <w:sz w:val="32"/>
                <w:szCs w:val="32"/>
              </w:rPr>
              <w:t>年</w:t>
            </w:r>
          </w:p>
          <w:p w:rsidR="006D7A0E" w:rsidRPr="00C422E6" w:rsidRDefault="006D7A0E"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C422E6">
              <w:rPr>
                <w:rFonts w:ascii="標楷體" w:eastAsia="標楷體" w:hAnsi="標楷體" w:cs="標楷體" w:hint="eastAsia"/>
                <w:color w:val="000000"/>
                <w:kern w:val="0"/>
                <w:sz w:val="32"/>
                <w:szCs w:val="32"/>
              </w:rPr>
              <w:t>第</w:t>
            </w:r>
            <w:r w:rsidRPr="00C422E6">
              <w:rPr>
                <w:rFonts w:ascii="標楷體" w:eastAsia="標楷體" w:hAnsi="標楷體" w:cs="標楷體"/>
                <w:color w:val="000000"/>
                <w:kern w:val="0"/>
                <w:sz w:val="32"/>
                <w:szCs w:val="32"/>
              </w:rPr>
              <w:t>4</w:t>
            </w:r>
            <w:r w:rsidRPr="00C422E6">
              <w:rPr>
                <w:rFonts w:ascii="標楷體" w:eastAsia="標楷體" w:hAnsi="標楷體" w:cs="標楷體" w:hint="eastAsia"/>
                <w:color w:val="000000"/>
                <w:kern w:val="0"/>
                <w:sz w:val="32"/>
                <w:szCs w:val="32"/>
              </w:rPr>
              <w:t>季</w:t>
            </w:r>
          </w:p>
        </w:tc>
        <w:tc>
          <w:tcPr>
            <w:tcW w:w="619" w:type="pct"/>
            <w:vAlign w:val="center"/>
          </w:tcPr>
          <w:p w:rsidR="006D7A0E" w:rsidRPr="00C422E6" w:rsidRDefault="006D7A0E"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0.53</w:t>
            </w:r>
          </w:p>
        </w:tc>
        <w:tc>
          <w:tcPr>
            <w:tcW w:w="619" w:type="pct"/>
            <w:vAlign w:val="center"/>
          </w:tcPr>
          <w:p w:rsidR="006D7A0E" w:rsidRPr="00C422E6" w:rsidRDefault="006D7A0E"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-2.73</w:t>
            </w:r>
          </w:p>
        </w:tc>
        <w:tc>
          <w:tcPr>
            <w:tcW w:w="619" w:type="pct"/>
            <w:vAlign w:val="center"/>
          </w:tcPr>
          <w:p w:rsidR="006D7A0E" w:rsidRPr="00C422E6" w:rsidRDefault="006D7A0E"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-5.16</w:t>
            </w:r>
          </w:p>
        </w:tc>
        <w:tc>
          <w:tcPr>
            <w:tcW w:w="619" w:type="pct"/>
            <w:vAlign w:val="center"/>
          </w:tcPr>
          <w:p w:rsidR="006D7A0E" w:rsidRPr="00C422E6" w:rsidRDefault="006D7A0E"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-2.45</w:t>
            </w:r>
          </w:p>
        </w:tc>
        <w:tc>
          <w:tcPr>
            <w:tcW w:w="619" w:type="pct"/>
            <w:vAlign w:val="center"/>
          </w:tcPr>
          <w:p w:rsidR="006D7A0E" w:rsidRPr="00C422E6" w:rsidRDefault="006D7A0E"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0.98</w:t>
            </w:r>
          </w:p>
        </w:tc>
        <w:tc>
          <w:tcPr>
            <w:tcW w:w="619" w:type="pct"/>
            <w:vAlign w:val="center"/>
          </w:tcPr>
          <w:p w:rsidR="006D7A0E" w:rsidRPr="00C422E6" w:rsidRDefault="006D7A0E"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2.37</w:t>
            </w:r>
          </w:p>
        </w:tc>
        <w:tc>
          <w:tcPr>
            <w:tcW w:w="619" w:type="pct"/>
            <w:vAlign w:val="center"/>
          </w:tcPr>
          <w:p w:rsidR="006D7A0E" w:rsidRPr="00C422E6" w:rsidRDefault="006D7A0E" w:rsidP="00616B1F">
            <w:pPr>
              <w:jc w:val="center"/>
              <w:rPr>
                <w:rFonts w:ascii="標楷體" w:eastAsia="標楷體" w:hAnsi="標楷體" w:cs="標楷體"/>
                <w:color w:val="000000"/>
                <w:kern w:val="0"/>
                <w:sz w:val="32"/>
                <w:szCs w:val="32"/>
              </w:rPr>
            </w:pPr>
            <w:r w:rsidRPr="00C422E6">
              <w:rPr>
                <w:rFonts w:ascii="標楷體" w:eastAsia="標楷體" w:hAnsi="標楷體" w:cs="標楷體"/>
                <w:color w:val="000000"/>
                <w:kern w:val="0"/>
                <w:sz w:val="32"/>
                <w:szCs w:val="32"/>
              </w:rPr>
              <w:t>1.02</w:t>
            </w:r>
          </w:p>
        </w:tc>
      </w:tr>
      <w:tr w:rsidR="006D7A0E" w:rsidRPr="00C422E6">
        <w:trPr>
          <w:trHeight w:val="1003"/>
          <w:jc w:val="center"/>
        </w:trPr>
        <w:tc>
          <w:tcPr>
            <w:tcW w:w="666" w:type="pct"/>
            <w:vAlign w:val="center"/>
          </w:tcPr>
          <w:p w:rsidR="006D7A0E" w:rsidRPr="007E2443" w:rsidRDefault="006D7A0E" w:rsidP="005A34F9">
            <w:pPr>
              <w:widowControl/>
              <w:adjustRightInd w:val="0"/>
              <w:snapToGrid w:val="0"/>
              <w:spacing w:line="240" w:lineRule="atLeast"/>
              <w:jc w:val="center"/>
              <w:rPr>
                <w:rFonts w:ascii="標楷體" w:eastAsia="標楷體" w:hAnsi="標楷體" w:cs="Times New Roman"/>
                <w:kern w:val="0"/>
                <w:sz w:val="32"/>
                <w:szCs w:val="32"/>
              </w:rPr>
            </w:pPr>
            <w:r w:rsidRPr="007E2443">
              <w:rPr>
                <w:rFonts w:ascii="標楷體" w:eastAsia="標楷體" w:hAnsi="標楷體" w:cs="標楷體"/>
                <w:kern w:val="0"/>
                <w:sz w:val="32"/>
                <w:szCs w:val="32"/>
              </w:rPr>
              <w:t>105</w:t>
            </w:r>
            <w:r w:rsidRPr="007E2443">
              <w:rPr>
                <w:rFonts w:ascii="標楷體" w:eastAsia="標楷體" w:hAnsi="標楷體" w:cs="標楷體" w:hint="eastAsia"/>
                <w:kern w:val="0"/>
                <w:sz w:val="32"/>
                <w:szCs w:val="32"/>
              </w:rPr>
              <w:t>年</w:t>
            </w:r>
          </w:p>
          <w:p w:rsidR="006D7A0E" w:rsidRPr="007E2443" w:rsidRDefault="006D7A0E" w:rsidP="005A34F9">
            <w:pPr>
              <w:widowControl/>
              <w:adjustRightInd w:val="0"/>
              <w:snapToGrid w:val="0"/>
              <w:spacing w:line="240" w:lineRule="atLeast"/>
              <w:jc w:val="center"/>
              <w:rPr>
                <w:rFonts w:ascii="標楷體" w:eastAsia="標楷體" w:hAnsi="標楷體" w:cs="Times New Roman"/>
                <w:kern w:val="0"/>
                <w:sz w:val="32"/>
                <w:szCs w:val="32"/>
              </w:rPr>
            </w:pPr>
            <w:r w:rsidRPr="007E2443">
              <w:rPr>
                <w:rFonts w:ascii="標楷體" w:eastAsia="標楷體" w:hAnsi="標楷體" w:cs="標楷體" w:hint="eastAsia"/>
                <w:kern w:val="0"/>
                <w:sz w:val="32"/>
                <w:szCs w:val="32"/>
              </w:rPr>
              <w:t>第</w:t>
            </w:r>
            <w:r w:rsidRPr="007E2443">
              <w:rPr>
                <w:rFonts w:ascii="標楷體" w:eastAsia="標楷體" w:hAnsi="標楷體" w:cs="標楷體"/>
                <w:kern w:val="0"/>
                <w:sz w:val="32"/>
                <w:szCs w:val="32"/>
              </w:rPr>
              <w:t>1</w:t>
            </w:r>
            <w:r w:rsidRPr="007E2443">
              <w:rPr>
                <w:rFonts w:ascii="標楷體" w:eastAsia="標楷體" w:hAnsi="標楷體" w:cs="標楷體" w:hint="eastAsia"/>
                <w:kern w:val="0"/>
                <w:sz w:val="32"/>
                <w:szCs w:val="32"/>
              </w:rPr>
              <w:t>季</w:t>
            </w:r>
          </w:p>
        </w:tc>
        <w:tc>
          <w:tcPr>
            <w:tcW w:w="619" w:type="pct"/>
            <w:vAlign w:val="center"/>
          </w:tcPr>
          <w:p w:rsidR="006D7A0E" w:rsidRPr="007E2443" w:rsidRDefault="006D7A0E" w:rsidP="005A34F9">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-1.31</w:t>
            </w:r>
          </w:p>
        </w:tc>
        <w:tc>
          <w:tcPr>
            <w:tcW w:w="619" w:type="pct"/>
            <w:vAlign w:val="center"/>
          </w:tcPr>
          <w:p w:rsidR="006D7A0E" w:rsidRPr="007E2443" w:rsidRDefault="006D7A0E" w:rsidP="005A34F9">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-2.16</w:t>
            </w:r>
          </w:p>
        </w:tc>
        <w:tc>
          <w:tcPr>
            <w:tcW w:w="619" w:type="pct"/>
            <w:vAlign w:val="center"/>
          </w:tcPr>
          <w:p w:rsidR="006D7A0E" w:rsidRPr="007E2443" w:rsidRDefault="006D7A0E" w:rsidP="005A34F9">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-5.46</w:t>
            </w:r>
          </w:p>
        </w:tc>
        <w:tc>
          <w:tcPr>
            <w:tcW w:w="619" w:type="pct"/>
            <w:vAlign w:val="center"/>
          </w:tcPr>
          <w:p w:rsidR="006D7A0E" w:rsidRPr="007E2443" w:rsidRDefault="006D7A0E" w:rsidP="005A34F9">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-1.38</w:t>
            </w:r>
          </w:p>
        </w:tc>
        <w:tc>
          <w:tcPr>
            <w:tcW w:w="619" w:type="pct"/>
            <w:vAlign w:val="center"/>
          </w:tcPr>
          <w:p w:rsidR="006D7A0E" w:rsidRPr="007E2443" w:rsidRDefault="006D7A0E" w:rsidP="005A34F9">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-4.92</w:t>
            </w:r>
          </w:p>
        </w:tc>
        <w:tc>
          <w:tcPr>
            <w:tcW w:w="619" w:type="pct"/>
            <w:vAlign w:val="center"/>
          </w:tcPr>
          <w:p w:rsidR="006D7A0E" w:rsidRPr="007E2443" w:rsidRDefault="006D7A0E" w:rsidP="005A34F9">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-2.67</w:t>
            </w:r>
          </w:p>
        </w:tc>
        <w:tc>
          <w:tcPr>
            <w:tcW w:w="619" w:type="pct"/>
            <w:vAlign w:val="center"/>
          </w:tcPr>
          <w:p w:rsidR="006D7A0E" w:rsidRPr="007E2443" w:rsidRDefault="006D7A0E" w:rsidP="005A34F9">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-1.63</w:t>
            </w:r>
          </w:p>
        </w:tc>
      </w:tr>
      <w:tr w:rsidR="006D7A0E" w:rsidRPr="00C422E6">
        <w:trPr>
          <w:trHeight w:val="803"/>
          <w:jc w:val="center"/>
        </w:trPr>
        <w:tc>
          <w:tcPr>
            <w:tcW w:w="666" w:type="pct"/>
            <w:vAlign w:val="center"/>
          </w:tcPr>
          <w:p w:rsidR="006D7A0E" w:rsidRPr="007E2443" w:rsidRDefault="006D7A0E" w:rsidP="00C45F99">
            <w:pPr>
              <w:widowControl/>
              <w:adjustRightInd w:val="0"/>
              <w:snapToGrid w:val="0"/>
              <w:spacing w:line="240" w:lineRule="atLeast"/>
              <w:jc w:val="center"/>
              <w:rPr>
                <w:rFonts w:ascii="標楷體" w:eastAsia="標楷體" w:hAnsi="標楷體" w:cs="Times New Roman"/>
                <w:kern w:val="0"/>
                <w:sz w:val="32"/>
                <w:szCs w:val="32"/>
              </w:rPr>
            </w:pPr>
            <w:r w:rsidRPr="007E2443">
              <w:rPr>
                <w:rFonts w:ascii="標楷體" w:eastAsia="標楷體" w:hAnsi="標楷體" w:cs="標楷體"/>
                <w:kern w:val="0"/>
                <w:sz w:val="32"/>
                <w:szCs w:val="32"/>
              </w:rPr>
              <w:t>105</w:t>
            </w:r>
            <w:r w:rsidRPr="007E2443">
              <w:rPr>
                <w:rFonts w:ascii="標楷體" w:eastAsia="標楷體" w:hAnsi="標楷體" w:cs="標楷體" w:hint="eastAsia"/>
                <w:kern w:val="0"/>
                <w:sz w:val="32"/>
                <w:szCs w:val="32"/>
              </w:rPr>
              <w:t>年</w:t>
            </w:r>
          </w:p>
          <w:p w:rsidR="006D7A0E" w:rsidRPr="007E2443" w:rsidRDefault="006D7A0E" w:rsidP="00C45F99">
            <w:pPr>
              <w:widowControl/>
              <w:adjustRightInd w:val="0"/>
              <w:snapToGrid w:val="0"/>
              <w:spacing w:line="240" w:lineRule="atLeast"/>
              <w:jc w:val="center"/>
              <w:rPr>
                <w:rFonts w:ascii="標楷體" w:eastAsia="標楷體" w:hAnsi="標楷體" w:cs="Times New Roman"/>
                <w:kern w:val="0"/>
                <w:sz w:val="32"/>
                <w:szCs w:val="32"/>
              </w:rPr>
            </w:pPr>
            <w:r w:rsidRPr="007E2443">
              <w:rPr>
                <w:rFonts w:ascii="標楷體" w:eastAsia="標楷體" w:hAnsi="標楷體" w:cs="標楷體" w:hint="eastAsia"/>
                <w:kern w:val="0"/>
                <w:sz w:val="32"/>
                <w:szCs w:val="32"/>
              </w:rPr>
              <w:t>第</w:t>
            </w:r>
            <w:r w:rsidRPr="007E2443">
              <w:rPr>
                <w:rFonts w:ascii="標楷體" w:eastAsia="標楷體" w:hAnsi="標楷體" w:cs="標楷體"/>
                <w:kern w:val="0"/>
                <w:sz w:val="32"/>
                <w:szCs w:val="32"/>
              </w:rPr>
              <w:t>2</w:t>
            </w:r>
            <w:r w:rsidRPr="007E2443">
              <w:rPr>
                <w:rFonts w:ascii="標楷體" w:eastAsia="標楷體" w:hAnsi="標楷體" w:cs="標楷體" w:hint="eastAsia"/>
                <w:kern w:val="0"/>
                <w:sz w:val="32"/>
                <w:szCs w:val="32"/>
              </w:rPr>
              <w:t>季</w:t>
            </w:r>
          </w:p>
        </w:tc>
        <w:tc>
          <w:tcPr>
            <w:tcW w:w="619" w:type="pct"/>
            <w:vAlign w:val="center"/>
          </w:tcPr>
          <w:p w:rsidR="006D7A0E" w:rsidRPr="007E2443" w:rsidRDefault="006D7A0E">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0.46</w:t>
            </w:r>
          </w:p>
        </w:tc>
        <w:tc>
          <w:tcPr>
            <w:tcW w:w="619" w:type="pct"/>
            <w:vAlign w:val="center"/>
          </w:tcPr>
          <w:p w:rsidR="006D7A0E" w:rsidRPr="007E2443" w:rsidRDefault="006D7A0E">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-2.81</w:t>
            </w:r>
          </w:p>
        </w:tc>
        <w:tc>
          <w:tcPr>
            <w:tcW w:w="619" w:type="pct"/>
            <w:vAlign w:val="center"/>
          </w:tcPr>
          <w:p w:rsidR="006D7A0E" w:rsidRPr="007E2443" w:rsidRDefault="006D7A0E">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-5.77</w:t>
            </w:r>
          </w:p>
        </w:tc>
        <w:tc>
          <w:tcPr>
            <w:tcW w:w="619" w:type="pct"/>
            <w:vAlign w:val="center"/>
          </w:tcPr>
          <w:p w:rsidR="006D7A0E" w:rsidRPr="007E2443" w:rsidRDefault="006D7A0E">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-4.65</w:t>
            </w:r>
          </w:p>
        </w:tc>
        <w:tc>
          <w:tcPr>
            <w:tcW w:w="619" w:type="pct"/>
            <w:vAlign w:val="center"/>
          </w:tcPr>
          <w:p w:rsidR="006D7A0E" w:rsidRPr="007E2443" w:rsidRDefault="006D7A0E">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-2.84</w:t>
            </w:r>
          </w:p>
        </w:tc>
        <w:tc>
          <w:tcPr>
            <w:tcW w:w="619" w:type="pct"/>
            <w:vAlign w:val="center"/>
          </w:tcPr>
          <w:p w:rsidR="006D7A0E" w:rsidRPr="007E2443" w:rsidRDefault="006D7A0E">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0.18</w:t>
            </w:r>
          </w:p>
        </w:tc>
        <w:tc>
          <w:tcPr>
            <w:tcW w:w="619" w:type="pct"/>
            <w:vAlign w:val="center"/>
          </w:tcPr>
          <w:p w:rsidR="006D7A0E" w:rsidRPr="007E2443" w:rsidRDefault="006D7A0E">
            <w:pPr>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-0.70</w:t>
            </w:r>
          </w:p>
        </w:tc>
      </w:tr>
      <w:tr w:rsidR="006D7A0E" w:rsidRPr="00C422E6">
        <w:trPr>
          <w:trHeight w:val="662"/>
          <w:jc w:val="center"/>
        </w:trPr>
        <w:tc>
          <w:tcPr>
            <w:tcW w:w="666" w:type="pct"/>
            <w:vAlign w:val="center"/>
          </w:tcPr>
          <w:p w:rsidR="006D7A0E" w:rsidRPr="007E2443" w:rsidRDefault="006D7A0E" w:rsidP="00A6698E">
            <w:pPr>
              <w:widowControl/>
              <w:adjustRightInd w:val="0"/>
              <w:snapToGrid w:val="0"/>
              <w:spacing w:line="240" w:lineRule="atLeast"/>
              <w:jc w:val="center"/>
              <w:rPr>
                <w:rFonts w:ascii="標楷體" w:eastAsia="標楷體" w:hAnsi="標楷體" w:cs="Times New Roman"/>
                <w:kern w:val="0"/>
                <w:sz w:val="32"/>
                <w:szCs w:val="32"/>
              </w:rPr>
            </w:pPr>
            <w:r w:rsidRPr="007E2443">
              <w:rPr>
                <w:rFonts w:ascii="標楷體" w:eastAsia="標楷體" w:hAnsi="標楷體" w:cs="標楷體"/>
                <w:kern w:val="0"/>
                <w:sz w:val="32"/>
                <w:szCs w:val="32"/>
              </w:rPr>
              <w:t>105</w:t>
            </w:r>
            <w:r w:rsidRPr="007E2443">
              <w:rPr>
                <w:rFonts w:ascii="標楷體" w:eastAsia="標楷體" w:hAnsi="標楷體" w:cs="標楷體" w:hint="eastAsia"/>
                <w:kern w:val="0"/>
                <w:sz w:val="32"/>
                <w:szCs w:val="32"/>
              </w:rPr>
              <w:t>年</w:t>
            </w:r>
          </w:p>
          <w:p w:rsidR="006D7A0E" w:rsidRPr="007E2443" w:rsidRDefault="006D7A0E" w:rsidP="00A6698E">
            <w:pPr>
              <w:widowControl/>
              <w:adjustRightInd w:val="0"/>
              <w:snapToGrid w:val="0"/>
              <w:spacing w:line="240" w:lineRule="atLeast"/>
              <w:jc w:val="center"/>
              <w:rPr>
                <w:rFonts w:ascii="標楷體" w:eastAsia="標楷體" w:hAnsi="標楷體" w:cs="Times New Roman"/>
                <w:kern w:val="0"/>
                <w:sz w:val="32"/>
                <w:szCs w:val="32"/>
              </w:rPr>
            </w:pPr>
            <w:r w:rsidRPr="007E2443">
              <w:rPr>
                <w:rFonts w:ascii="標楷體" w:eastAsia="標楷體" w:hAnsi="標楷體" w:cs="標楷體" w:hint="eastAsia"/>
                <w:kern w:val="0"/>
                <w:sz w:val="32"/>
                <w:szCs w:val="32"/>
              </w:rPr>
              <w:t>第</w:t>
            </w:r>
            <w:r w:rsidRPr="007E2443">
              <w:rPr>
                <w:rFonts w:ascii="標楷體" w:eastAsia="標楷體" w:hAnsi="標楷體" w:cs="標楷體"/>
                <w:kern w:val="0"/>
                <w:sz w:val="32"/>
                <w:szCs w:val="32"/>
              </w:rPr>
              <w:t>3</w:t>
            </w:r>
            <w:r w:rsidRPr="007E2443">
              <w:rPr>
                <w:rFonts w:ascii="標楷體" w:eastAsia="標楷體" w:hAnsi="標楷體" w:cs="標楷體" w:hint="eastAsia"/>
                <w:kern w:val="0"/>
                <w:sz w:val="32"/>
                <w:szCs w:val="32"/>
              </w:rPr>
              <w:t>季</w:t>
            </w:r>
          </w:p>
        </w:tc>
        <w:tc>
          <w:tcPr>
            <w:tcW w:w="619" w:type="pct"/>
            <w:vAlign w:val="center"/>
          </w:tcPr>
          <w:p w:rsidR="006D7A0E" w:rsidRPr="007E2443" w:rsidRDefault="006D7A0E" w:rsidP="007E2443">
            <w:pPr>
              <w:adjustRightInd w:val="0"/>
              <w:snapToGrid w:val="0"/>
              <w:spacing w:line="240" w:lineRule="atLeas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0.66</w:t>
            </w:r>
          </w:p>
        </w:tc>
        <w:tc>
          <w:tcPr>
            <w:tcW w:w="619" w:type="pct"/>
            <w:vAlign w:val="center"/>
          </w:tcPr>
          <w:p w:rsidR="006D7A0E" w:rsidRPr="007E2443" w:rsidRDefault="006D7A0E" w:rsidP="007E2443">
            <w:pPr>
              <w:adjustRightInd w:val="0"/>
              <w:snapToGrid w:val="0"/>
              <w:spacing w:line="240" w:lineRule="atLeas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-2.67</w:t>
            </w:r>
          </w:p>
        </w:tc>
        <w:tc>
          <w:tcPr>
            <w:tcW w:w="619" w:type="pct"/>
            <w:vAlign w:val="center"/>
          </w:tcPr>
          <w:p w:rsidR="006D7A0E" w:rsidRPr="007E2443" w:rsidRDefault="006D7A0E" w:rsidP="007E2443">
            <w:pPr>
              <w:adjustRightInd w:val="0"/>
              <w:snapToGrid w:val="0"/>
              <w:spacing w:line="240" w:lineRule="atLeas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-4.65</w:t>
            </w:r>
          </w:p>
        </w:tc>
        <w:tc>
          <w:tcPr>
            <w:tcW w:w="619" w:type="pct"/>
            <w:vAlign w:val="center"/>
          </w:tcPr>
          <w:p w:rsidR="006D7A0E" w:rsidRPr="007E2443" w:rsidRDefault="006D7A0E" w:rsidP="007E2443">
            <w:pPr>
              <w:adjustRightInd w:val="0"/>
              <w:snapToGrid w:val="0"/>
              <w:spacing w:line="240" w:lineRule="atLeas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-1.73</w:t>
            </w:r>
          </w:p>
        </w:tc>
        <w:tc>
          <w:tcPr>
            <w:tcW w:w="619" w:type="pct"/>
            <w:vAlign w:val="center"/>
          </w:tcPr>
          <w:p w:rsidR="006D7A0E" w:rsidRPr="007E2443" w:rsidRDefault="006D7A0E" w:rsidP="007E2443">
            <w:pPr>
              <w:adjustRightInd w:val="0"/>
              <w:snapToGrid w:val="0"/>
              <w:spacing w:line="240" w:lineRule="atLeas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0.68</w:t>
            </w:r>
          </w:p>
        </w:tc>
        <w:tc>
          <w:tcPr>
            <w:tcW w:w="619" w:type="pct"/>
            <w:vAlign w:val="center"/>
          </w:tcPr>
          <w:p w:rsidR="006D7A0E" w:rsidRPr="007E2443" w:rsidRDefault="006D7A0E" w:rsidP="007E2443">
            <w:pPr>
              <w:adjustRightInd w:val="0"/>
              <w:snapToGrid w:val="0"/>
              <w:spacing w:line="240" w:lineRule="atLeas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1.19</w:t>
            </w:r>
          </w:p>
        </w:tc>
        <w:tc>
          <w:tcPr>
            <w:tcW w:w="619" w:type="pct"/>
            <w:vAlign w:val="center"/>
          </w:tcPr>
          <w:p w:rsidR="006D7A0E" w:rsidRPr="007E2443" w:rsidRDefault="006D7A0E" w:rsidP="007E2443">
            <w:pPr>
              <w:adjustRightInd w:val="0"/>
              <w:snapToGrid w:val="0"/>
              <w:spacing w:line="240" w:lineRule="atLeast"/>
              <w:jc w:val="center"/>
              <w:rPr>
                <w:rFonts w:ascii="標楷體" w:eastAsia="標楷體" w:hAnsi="標楷體" w:cs="標楷體"/>
                <w:kern w:val="0"/>
                <w:sz w:val="32"/>
                <w:szCs w:val="32"/>
              </w:rPr>
            </w:pPr>
            <w:r w:rsidRPr="007E2443">
              <w:rPr>
                <w:rFonts w:ascii="標楷體" w:eastAsia="標楷體" w:hAnsi="標楷體" w:cs="標楷體"/>
                <w:kern w:val="0"/>
                <w:sz w:val="32"/>
                <w:szCs w:val="32"/>
              </w:rPr>
              <w:t>0.44</w:t>
            </w:r>
          </w:p>
        </w:tc>
      </w:tr>
    </w:tbl>
    <w:p w:rsidR="006D7A0E" w:rsidRPr="007E2443" w:rsidRDefault="006D7A0E" w:rsidP="007F5B21">
      <w:pPr>
        <w:spacing w:beforeLines="50" w:before="120" w:afterLines="50" w:after="120"/>
        <w:jc w:val="both"/>
        <w:rPr>
          <w:rFonts w:ascii="標楷體" w:eastAsia="標楷體" w:hAnsi="標楷體" w:cs="Times New Roman"/>
          <w:b/>
          <w:bCs/>
          <w:sz w:val="32"/>
          <w:szCs w:val="32"/>
        </w:rPr>
      </w:pPr>
      <w:r w:rsidRPr="00C422E6">
        <w:rPr>
          <w:rFonts w:ascii="標楷體" w:eastAsia="標楷體" w:hAnsi="標楷體" w:cs="標楷體" w:hint="eastAsia"/>
          <w:sz w:val="28"/>
          <w:szCs w:val="28"/>
        </w:rPr>
        <w:t>註：「本季對去年同季變動率」之計算公式：</w:t>
      </w:r>
      <w:r w:rsidRPr="00C422E6">
        <w:rPr>
          <w:rFonts w:ascii="標楷體" w:eastAsia="標楷體" w:hAnsi="標楷體" w:cs="標楷體"/>
          <w:sz w:val="32"/>
          <w:szCs w:val="32"/>
        </w:rPr>
        <w:t xml:space="preserve"> </w:t>
      </w:r>
      <w:r w:rsidRPr="00C422E6">
        <w:rPr>
          <w:rFonts w:ascii="標楷體" w:eastAsia="標楷體" w:hAnsi="標楷體" w:cs="Times New Roman"/>
          <w:position w:val="-28"/>
          <w:sz w:val="32"/>
          <w:szCs w:val="32"/>
        </w:rPr>
        <w:object w:dxaOrig="3640" w:dyaOrig="660">
          <v:shape id="_x0000_i1026" type="#_x0000_t75" style="width:178.5pt;height:33pt" o:ole="">
            <v:imagedata r:id="rId11" o:title=""/>
          </v:shape>
          <o:OLEObject Type="Embed" ProgID="Equation.3" ShapeID="_x0000_i1026" DrawAspect="Content" ObjectID="_1559651274" r:id="rId12"/>
        </w:object>
      </w:r>
      <w:r w:rsidRPr="00C422E6">
        <w:rPr>
          <w:rFonts w:ascii="標楷體" w:eastAsia="標楷體" w:hAnsi="標楷體" w:cs="Times New Roman"/>
          <w:sz w:val="28"/>
          <w:szCs w:val="28"/>
        </w:rPr>
        <w:br w:type="page"/>
      </w:r>
      <w:bookmarkStart w:id="6" w:name="_Toc444595136"/>
      <w:r w:rsidRPr="007E2443">
        <w:rPr>
          <w:rFonts w:ascii="標楷體" w:eastAsia="標楷體" w:hAnsi="標楷體" w:cs="標楷體" w:hint="eastAsia"/>
          <w:b/>
          <w:bCs/>
          <w:sz w:val="32"/>
          <w:szCs w:val="32"/>
        </w:rPr>
        <w:lastRenderedPageBreak/>
        <w:t>肆、住宅價格指數圖</w:t>
      </w:r>
      <w:bookmarkEnd w:id="6"/>
    </w:p>
    <w:p w:rsidR="006D7A0E" w:rsidRPr="00C422E6" w:rsidRDefault="007E2443"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圖表 1" o:spid="_x0000_i1027" type="#_x0000_t75" style="width:461.25pt;height:275.25pt;visibility:visible">
            <v:imagedata r:id="rId13" o:title=""/>
            <o:lock v:ext="edit" aspectratio="f"/>
          </v:shape>
        </w:pict>
      </w:r>
      <w:r w:rsidR="00E00A16">
        <w:rPr>
          <w:noProof/>
        </w:rPr>
        <w:pict>
          <v:shapetype id="_x0000_t202" coordsize="21600,21600" o:spt="202" path="m,l,21600r21600,l21600,xe">
            <v:stroke joinstyle="miter"/>
            <v:path gradientshapeok="t" o:connecttype="rect"/>
          </v:shapetype>
          <v:shape id="文字方塊 2" o:spid="_x0000_s1027" type="#_x0000_t202" style="position:absolute;left:0;text-align:left;margin-left:323.25pt;margin-top:24.55pt;width:103.75pt;height:18.4pt;z-index:1;visibility:visible;mso-position-horizontal-relative:text;mso-position-vertical-relative:text" filled="f" stroked="f">
            <v:textbox style="mso-next-textbox:#文字方塊 2">
              <w:txbxContent>
                <w:p w:rsidR="006D7A0E" w:rsidRPr="009A31EB" w:rsidRDefault="006D7A0E" w:rsidP="00E10F2E">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6D7A0E" w:rsidRPr="007E2443"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sz w:val="32"/>
          <w:szCs w:val="32"/>
        </w:rPr>
      </w:pPr>
      <w:bookmarkStart w:id="7" w:name="_Toc444595137"/>
      <w:r w:rsidRPr="007E2443">
        <w:rPr>
          <w:rFonts w:ascii="標楷體" w:eastAsia="標楷體" w:hAnsi="標楷體" w:cs="標楷體" w:hint="eastAsia"/>
          <w:noProof/>
          <w:sz w:val="32"/>
          <w:szCs w:val="32"/>
        </w:rPr>
        <w:t>圖</w:t>
      </w:r>
      <w:r w:rsidRPr="007E2443">
        <w:rPr>
          <w:rFonts w:ascii="標楷體" w:eastAsia="標楷體" w:hAnsi="標楷體" w:cs="標楷體"/>
          <w:noProof/>
          <w:sz w:val="32"/>
          <w:szCs w:val="32"/>
        </w:rPr>
        <w:t>1</w:t>
      </w:r>
      <w:r w:rsidRPr="007E2443">
        <w:rPr>
          <w:rFonts w:ascii="標楷體" w:eastAsia="標楷體" w:hAnsi="標楷體" w:cs="標楷體" w:hint="eastAsia"/>
          <w:noProof/>
          <w:sz w:val="32"/>
          <w:szCs w:val="32"/>
        </w:rPr>
        <w:t xml:space="preserve">　全國住宅價格指數趨勢圖</w:t>
      </w:r>
      <w:bookmarkEnd w:id="7"/>
    </w:p>
    <w:p w:rsidR="006D7A0E"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p>
    <w:p w:rsidR="006D7A0E" w:rsidRPr="00C422E6"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p>
    <w:p w:rsidR="006D7A0E" w:rsidRPr="00C422E6" w:rsidRDefault="007E2443"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_x0000_i1028" type="#_x0000_t75" style="width:469.5pt;height:275.25pt;visibility:visible">
            <v:imagedata r:id="rId14" o:title=""/>
            <o:lock v:ext="edit" aspectratio="f"/>
          </v:shape>
        </w:pict>
      </w:r>
      <w:r w:rsidR="00E00A16">
        <w:rPr>
          <w:noProof/>
        </w:rPr>
        <w:pict>
          <v:shape id="_x0000_s1028" type="#_x0000_t202" style="position:absolute;left:0;text-align:left;margin-left:323.25pt;margin-top:22.85pt;width:103.75pt;height:18.4pt;z-index:2;visibility:visible;mso-position-horizontal-relative:text;mso-position-vertical-relative:text" filled="f" stroked="f">
            <v:textbox style="mso-next-textbox:#_x0000_s1028">
              <w:txbxContent>
                <w:p w:rsidR="006D7A0E" w:rsidRPr="009A31EB" w:rsidRDefault="006D7A0E" w:rsidP="00CB20C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6D7A0E" w:rsidRPr="007E2443"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sz w:val="32"/>
          <w:szCs w:val="32"/>
        </w:rPr>
      </w:pPr>
      <w:bookmarkStart w:id="8" w:name="_Toc444595138"/>
      <w:r w:rsidRPr="007E2443">
        <w:rPr>
          <w:rFonts w:ascii="標楷體" w:eastAsia="標楷體" w:hAnsi="標楷體" w:cs="標楷體" w:hint="eastAsia"/>
          <w:noProof/>
          <w:sz w:val="32"/>
          <w:szCs w:val="32"/>
        </w:rPr>
        <w:t>圖</w:t>
      </w:r>
      <w:r w:rsidRPr="007E2443">
        <w:rPr>
          <w:rFonts w:ascii="標楷體" w:eastAsia="標楷體" w:hAnsi="標楷體" w:cs="標楷體"/>
          <w:noProof/>
          <w:sz w:val="32"/>
          <w:szCs w:val="32"/>
        </w:rPr>
        <w:t>2</w:t>
      </w:r>
      <w:r w:rsidRPr="007E2443">
        <w:rPr>
          <w:rFonts w:ascii="標楷體" w:eastAsia="標楷體" w:hAnsi="標楷體" w:cs="標楷體" w:hint="eastAsia"/>
          <w:noProof/>
          <w:sz w:val="32"/>
          <w:szCs w:val="32"/>
        </w:rPr>
        <w:t xml:space="preserve">　新北市住宅價格指數趨勢圖</w:t>
      </w:r>
      <w:bookmarkEnd w:id="8"/>
    </w:p>
    <w:p w:rsidR="006D7A0E" w:rsidRPr="00C422E6" w:rsidRDefault="007E2443" w:rsidP="00F00968">
      <w:pPr>
        <w:widowControl/>
        <w:adjustRightInd w:val="0"/>
        <w:snapToGrid w:val="0"/>
        <w:spacing w:line="240" w:lineRule="atLeast"/>
        <w:jc w:val="center"/>
        <w:rPr>
          <w:rFonts w:ascii="標楷體" w:eastAsia="標楷體" w:hAnsi="標楷體" w:cs="Times New Roman"/>
          <w:noProof/>
          <w:color w:val="FF0000"/>
        </w:rPr>
      </w:pPr>
      <w:r>
        <w:rPr>
          <w:rFonts w:cs="Times New Roman"/>
          <w:noProof/>
        </w:rPr>
        <w:lastRenderedPageBreak/>
        <w:pict>
          <v:shape id="_x0000_i1029" type="#_x0000_t75" style="width:442.5pt;height:267pt;visibility:visible">
            <v:imagedata r:id="rId15" o:title=""/>
            <o:lock v:ext="edit" aspectratio="f"/>
          </v:shape>
        </w:pict>
      </w:r>
      <w:r w:rsidR="00E00A16">
        <w:rPr>
          <w:noProof/>
        </w:rPr>
        <w:pict>
          <v:shape id="_x0000_s1029" type="#_x0000_t202" style="position:absolute;left:0;text-align:left;margin-left:323.25pt;margin-top:22.25pt;width:103.75pt;height:18.4pt;z-index:3;visibility:visible;mso-position-horizontal-relative:text;mso-position-vertical-relative:text" filled="f" stroked="f">
            <v:textbox style="mso-next-textbox:#_x0000_s1029">
              <w:txbxContent>
                <w:p w:rsidR="006D7A0E" w:rsidRPr="009A31EB" w:rsidRDefault="006D7A0E"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6D7A0E" w:rsidRPr="007E2443"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sz w:val="32"/>
          <w:szCs w:val="32"/>
        </w:rPr>
      </w:pPr>
      <w:bookmarkStart w:id="9" w:name="_Toc444595139"/>
      <w:r w:rsidRPr="007E2443">
        <w:rPr>
          <w:rFonts w:ascii="標楷體" w:eastAsia="標楷體" w:hAnsi="標楷體" w:cs="標楷體" w:hint="eastAsia"/>
          <w:noProof/>
          <w:sz w:val="32"/>
          <w:szCs w:val="32"/>
        </w:rPr>
        <w:t>圖</w:t>
      </w:r>
      <w:r w:rsidRPr="007E2443">
        <w:rPr>
          <w:rFonts w:ascii="標楷體" w:eastAsia="標楷體" w:hAnsi="標楷體" w:cs="標楷體"/>
          <w:noProof/>
          <w:sz w:val="32"/>
          <w:szCs w:val="32"/>
        </w:rPr>
        <w:t>3</w:t>
      </w:r>
      <w:r w:rsidRPr="007E2443">
        <w:rPr>
          <w:rFonts w:ascii="標楷體" w:eastAsia="標楷體" w:hAnsi="標楷體" w:cs="標楷體" w:hint="eastAsia"/>
          <w:noProof/>
          <w:sz w:val="32"/>
          <w:szCs w:val="32"/>
        </w:rPr>
        <w:t xml:space="preserve">　臺北市住宅價格指數趨勢圖</w:t>
      </w:r>
      <w:bookmarkEnd w:id="9"/>
    </w:p>
    <w:p w:rsidR="006D7A0E"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p>
    <w:p w:rsidR="006D7A0E" w:rsidRPr="000409F6"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p>
    <w:p w:rsidR="006D7A0E" w:rsidRPr="00C422E6" w:rsidRDefault="007E2443"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_x0000_i1030" type="#_x0000_t75" style="width:448.5pt;height:258.75pt;visibility:visible">
            <v:imagedata r:id="rId16" o:title=""/>
            <o:lock v:ext="edit" aspectratio="f"/>
          </v:shape>
        </w:pict>
      </w:r>
      <w:r w:rsidR="00E00A16">
        <w:rPr>
          <w:noProof/>
        </w:rPr>
        <w:pict>
          <v:shape id="_x0000_s1030" type="#_x0000_t202" style="position:absolute;left:0;text-align:left;margin-left:323.25pt;margin-top:21.35pt;width:103.75pt;height:18.4pt;z-index:4;visibility:visible;mso-position-horizontal-relative:text;mso-position-vertical-relative:text" filled="f" stroked="f">
            <v:textbox style="mso-next-textbox:#_x0000_s1030">
              <w:txbxContent>
                <w:p w:rsidR="006D7A0E" w:rsidRPr="009A31EB" w:rsidRDefault="006D7A0E"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6D7A0E" w:rsidRPr="007E2443"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sz w:val="32"/>
          <w:szCs w:val="32"/>
        </w:rPr>
      </w:pPr>
      <w:bookmarkStart w:id="10" w:name="_Toc444595140"/>
      <w:r w:rsidRPr="007E2443">
        <w:rPr>
          <w:rFonts w:ascii="標楷體" w:eastAsia="標楷體" w:hAnsi="標楷體" w:cs="標楷體" w:hint="eastAsia"/>
          <w:noProof/>
          <w:sz w:val="32"/>
          <w:szCs w:val="32"/>
        </w:rPr>
        <w:t>圖</w:t>
      </w:r>
      <w:r w:rsidRPr="007E2443">
        <w:rPr>
          <w:rFonts w:ascii="標楷體" w:eastAsia="標楷體" w:hAnsi="標楷體" w:cs="標楷體"/>
          <w:noProof/>
          <w:sz w:val="32"/>
          <w:szCs w:val="32"/>
        </w:rPr>
        <w:t>4</w:t>
      </w:r>
      <w:r w:rsidRPr="007E2443">
        <w:rPr>
          <w:rFonts w:ascii="標楷體" w:eastAsia="標楷體" w:hAnsi="標楷體" w:cs="標楷體" w:hint="eastAsia"/>
          <w:noProof/>
          <w:sz w:val="32"/>
          <w:szCs w:val="32"/>
        </w:rPr>
        <w:t xml:space="preserve">　桃園市住宅價格指數趨勢圖</w:t>
      </w:r>
      <w:bookmarkEnd w:id="10"/>
    </w:p>
    <w:p w:rsidR="006D7A0E"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p>
    <w:p w:rsidR="006D7A0E" w:rsidRPr="00C422E6" w:rsidRDefault="007E2443" w:rsidP="00AB45AD">
      <w:pPr>
        <w:adjustRightInd w:val="0"/>
        <w:snapToGrid w:val="0"/>
        <w:spacing w:line="240" w:lineRule="atLeast"/>
        <w:jc w:val="center"/>
        <w:rPr>
          <w:rFonts w:ascii="標楷體" w:eastAsia="標楷體" w:hAnsi="標楷體" w:cs="Times New Roman"/>
          <w:noProof/>
          <w:color w:val="FF0000"/>
        </w:rPr>
      </w:pPr>
      <w:r>
        <w:rPr>
          <w:rFonts w:cs="Times New Roman"/>
          <w:noProof/>
        </w:rPr>
        <w:lastRenderedPageBreak/>
        <w:pict>
          <v:shape id="_x0000_i1031" type="#_x0000_t75" style="width:454.5pt;height:267pt;visibility:visible">
            <v:imagedata r:id="rId17" o:title=""/>
            <o:lock v:ext="edit" aspectratio="f"/>
          </v:shape>
        </w:pict>
      </w:r>
      <w:r w:rsidR="00E00A16">
        <w:rPr>
          <w:noProof/>
        </w:rPr>
        <w:pict>
          <v:shape id="_x0000_s1031" type="#_x0000_t202" style="position:absolute;left:0;text-align:left;margin-left:323.25pt;margin-top:22.6pt;width:103.75pt;height:18.4pt;z-index:5;visibility:visible;mso-position-horizontal-relative:text;mso-position-vertical-relative:text" filled="f" stroked="f">
            <v:textbox style="mso-next-textbox:#_x0000_s1031">
              <w:txbxContent>
                <w:p w:rsidR="006D7A0E" w:rsidRPr="009A31EB" w:rsidRDefault="006D7A0E"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6D7A0E" w:rsidRPr="007E2443"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sz w:val="32"/>
          <w:szCs w:val="32"/>
        </w:rPr>
      </w:pPr>
      <w:bookmarkStart w:id="11" w:name="_Toc444595141"/>
      <w:r w:rsidRPr="007E2443">
        <w:rPr>
          <w:rFonts w:ascii="標楷體" w:eastAsia="標楷體" w:hAnsi="標楷體" w:cs="標楷體" w:hint="eastAsia"/>
          <w:noProof/>
          <w:sz w:val="32"/>
          <w:szCs w:val="32"/>
        </w:rPr>
        <w:t>圖</w:t>
      </w:r>
      <w:r w:rsidRPr="007E2443">
        <w:rPr>
          <w:rFonts w:ascii="標楷體" w:eastAsia="標楷體" w:hAnsi="標楷體" w:cs="標楷體"/>
          <w:noProof/>
          <w:sz w:val="32"/>
          <w:szCs w:val="32"/>
        </w:rPr>
        <w:t>5</w:t>
      </w:r>
      <w:r w:rsidRPr="007E2443">
        <w:rPr>
          <w:rFonts w:ascii="標楷體" w:eastAsia="標楷體" w:hAnsi="標楷體" w:cs="標楷體" w:hint="eastAsia"/>
          <w:noProof/>
          <w:sz w:val="32"/>
          <w:szCs w:val="32"/>
        </w:rPr>
        <w:t xml:space="preserve">　臺中市住宅價格指數趨勢圖</w:t>
      </w:r>
      <w:bookmarkEnd w:id="11"/>
    </w:p>
    <w:p w:rsidR="006D7A0E"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p>
    <w:p w:rsidR="006D7A0E"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color w:val="FF0000"/>
          <w:sz w:val="32"/>
          <w:szCs w:val="32"/>
        </w:rPr>
      </w:pPr>
    </w:p>
    <w:p w:rsidR="006D7A0E" w:rsidRPr="00C422E6" w:rsidRDefault="007E2443" w:rsidP="00F00968">
      <w:pPr>
        <w:adjustRightInd w:val="0"/>
        <w:snapToGrid w:val="0"/>
        <w:spacing w:line="240" w:lineRule="atLeast"/>
        <w:jc w:val="center"/>
        <w:rPr>
          <w:rFonts w:ascii="標楷體" w:eastAsia="標楷體" w:hAnsi="標楷體" w:cs="Times New Roman"/>
          <w:noProof/>
          <w:color w:val="FF0000"/>
        </w:rPr>
      </w:pPr>
      <w:r>
        <w:rPr>
          <w:rFonts w:cs="Times New Roman"/>
          <w:noProof/>
        </w:rPr>
        <w:pict>
          <v:shape id="_x0000_i1032" type="#_x0000_t75" style="width:461.25pt;height:265.5pt;visibility:visible">
            <v:imagedata r:id="rId18" o:title=""/>
            <o:lock v:ext="edit" aspectratio="f"/>
          </v:shape>
        </w:pict>
      </w:r>
      <w:r w:rsidR="00E00A16">
        <w:rPr>
          <w:noProof/>
        </w:rPr>
        <w:pict>
          <v:shape id="_x0000_s1032" type="#_x0000_t202" style="position:absolute;left:0;text-align:left;margin-left:323.25pt;margin-top:22.25pt;width:103.75pt;height:18.4pt;z-index:6;visibility:visible;mso-position-horizontal-relative:text;mso-position-vertical-relative:text" filled="f" stroked="f">
            <v:textbox style="mso-next-textbox:#_x0000_s1032">
              <w:txbxContent>
                <w:p w:rsidR="006D7A0E" w:rsidRPr="009A31EB" w:rsidRDefault="006D7A0E"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6D7A0E" w:rsidRPr="007E2443"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b/>
          <w:bCs/>
          <w:kern w:val="0"/>
          <w:sz w:val="26"/>
          <w:szCs w:val="26"/>
        </w:rPr>
      </w:pPr>
      <w:bookmarkStart w:id="12" w:name="_Toc444595142"/>
      <w:r w:rsidRPr="007E2443">
        <w:rPr>
          <w:rFonts w:ascii="標楷體" w:eastAsia="標楷體" w:hAnsi="標楷體" w:cs="標楷體" w:hint="eastAsia"/>
          <w:noProof/>
          <w:sz w:val="32"/>
          <w:szCs w:val="32"/>
        </w:rPr>
        <w:t>圖</w:t>
      </w:r>
      <w:r w:rsidRPr="007E2443">
        <w:rPr>
          <w:rFonts w:ascii="標楷體" w:eastAsia="標楷體" w:hAnsi="標楷體" w:cs="標楷體"/>
          <w:noProof/>
          <w:sz w:val="32"/>
          <w:szCs w:val="32"/>
        </w:rPr>
        <w:t>6</w:t>
      </w:r>
      <w:r w:rsidRPr="007E2443">
        <w:rPr>
          <w:rFonts w:ascii="標楷體" w:eastAsia="標楷體" w:hAnsi="標楷體" w:cs="標楷體" w:hint="eastAsia"/>
          <w:noProof/>
          <w:sz w:val="32"/>
          <w:szCs w:val="32"/>
        </w:rPr>
        <w:t xml:space="preserve">　臺南市住宅價格指數趨勢圖</w:t>
      </w:r>
      <w:bookmarkEnd w:id="12"/>
    </w:p>
    <w:p w:rsidR="006D7A0E" w:rsidRPr="00C422E6" w:rsidRDefault="007E2443" w:rsidP="00F00968">
      <w:pPr>
        <w:widowControl/>
        <w:overflowPunct w:val="0"/>
        <w:autoSpaceDE w:val="0"/>
        <w:autoSpaceDN w:val="0"/>
        <w:adjustRightInd w:val="0"/>
        <w:snapToGrid w:val="0"/>
        <w:spacing w:line="240" w:lineRule="atLeast"/>
        <w:jc w:val="center"/>
        <w:textAlignment w:val="baseline"/>
        <w:rPr>
          <w:rFonts w:ascii="標楷體" w:eastAsia="標楷體" w:hAnsi="標楷體" w:cs="Times New Roman"/>
          <w:color w:val="FF0000"/>
          <w:kern w:val="0"/>
          <w:sz w:val="26"/>
          <w:szCs w:val="26"/>
        </w:rPr>
      </w:pPr>
      <w:r>
        <w:rPr>
          <w:rFonts w:cs="Times New Roman"/>
          <w:noProof/>
        </w:rPr>
        <w:lastRenderedPageBreak/>
        <w:pict>
          <v:shape id="_x0000_i1033" type="#_x0000_t75" style="width:441.75pt;height:246pt;visibility:visible">
            <v:imagedata r:id="rId19" o:title=""/>
            <o:lock v:ext="edit" aspectratio="f"/>
          </v:shape>
        </w:pict>
      </w:r>
      <w:r w:rsidR="00E00A16">
        <w:rPr>
          <w:noProof/>
        </w:rPr>
        <w:pict>
          <v:shape id="_x0000_s1033" type="#_x0000_t202" style="position:absolute;left:0;text-align:left;margin-left:323.25pt;margin-top:21.75pt;width:103.75pt;height:18.4pt;z-index:7;visibility:visible;mso-position-horizontal-relative:text;mso-position-vertical-relative:text" filled="f" stroked="f">
            <v:textbox style="mso-next-textbox:#_x0000_s1033">
              <w:txbxContent>
                <w:p w:rsidR="006D7A0E" w:rsidRPr="009A31EB" w:rsidRDefault="006D7A0E"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6D7A0E" w:rsidRPr="007E2443" w:rsidRDefault="006D7A0E" w:rsidP="007F5B21">
      <w:pPr>
        <w:adjustRightInd w:val="0"/>
        <w:snapToGrid w:val="0"/>
        <w:spacing w:beforeLines="30" w:before="72" w:afterLines="80" w:after="192" w:line="240" w:lineRule="atLeast"/>
        <w:jc w:val="center"/>
        <w:outlineLvl w:val="0"/>
        <w:rPr>
          <w:rFonts w:ascii="標楷體" w:eastAsia="標楷體" w:hAnsi="標楷體" w:cs="Times New Roman"/>
          <w:noProof/>
          <w:sz w:val="32"/>
          <w:szCs w:val="32"/>
        </w:rPr>
      </w:pPr>
      <w:bookmarkStart w:id="13" w:name="_Toc444595143"/>
      <w:bookmarkStart w:id="14" w:name="_GoBack"/>
      <w:r w:rsidRPr="007E2443">
        <w:rPr>
          <w:rFonts w:ascii="標楷體" w:eastAsia="標楷體" w:hAnsi="標楷體" w:cs="標楷體" w:hint="eastAsia"/>
          <w:noProof/>
          <w:sz w:val="32"/>
          <w:szCs w:val="32"/>
        </w:rPr>
        <w:t>圖</w:t>
      </w:r>
      <w:r w:rsidRPr="007E2443">
        <w:rPr>
          <w:rFonts w:ascii="標楷體" w:eastAsia="標楷體" w:hAnsi="標楷體" w:cs="標楷體"/>
          <w:noProof/>
          <w:sz w:val="32"/>
          <w:szCs w:val="32"/>
        </w:rPr>
        <w:t>7</w:t>
      </w:r>
      <w:r w:rsidRPr="007E2443">
        <w:rPr>
          <w:rFonts w:ascii="標楷體" w:eastAsia="標楷體" w:hAnsi="標楷體" w:cs="標楷體" w:hint="eastAsia"/>
          <w:noProof/>
          <w:sz w:val="32"/>
          <w:szCs w:val="32"/>
        </w:rPr>
        <w:t xml:space="preserve">　高雄市住宅價格指數趨勢圖</w:t>
      </w:r>
      <w:bookmarkEnd w:id="13"/>
    </w:p>
    <w:bookmarkEnd w:id="14"/>
    <w:p w:rsidR="006D7A0E" w:rsidRPr="00C422E6" w:rsidRDefault="006D7A0E" w:rsidP="007F5B21">
      <w:pPr>
        <w:adjustRightInd w:val="0"/>
        <w:snapToGrid w:val="0"/>
        <w:spacing w:afterLines="50" w:after="120" w:line="500" w:lineRule="atLeast"/>
        <w:jc w:val="both"/>
        <w:outlineLvl w:val="0"/>
        <w:rPr>
          <w:rFonts w:ascii="標楷體" w:eastAsia="標楷體" w:hAnsi="標楷體" w:cs="Times New Roman"/>
          <w:b/>
          <w:bCs/>
          <w:sz w:val="32"/>
          <w:szCs w:val="32"/>
        </w:rPr>
      </w:pPr>
      <w:r w:rsidRPr="00C422E6">
        <w:rPr>
          <w:rFonts w:ascii="標楷體" w:eastAsia="標楷體" w:hAnsi="標楷體" w:cs="Times New Roman"/>
          <w:noProof/>
          <w:sz w:val="32"/>
          <w:szCs w:val="32"/>
        </w:rPr>
        <w:br w:type="page"/>
      </w:r>
      <w:bookmarkStart w:id="15" w:name="_Toc444595144"/>
      <w:r w:rsidRPr="00C422E6">
        <w:rPr>
          <w:rFonts w:ascii="標楷體" w:eastAsia="標楷體" w:hAnsi="標楷體" w:cs="標楷體" w:hint="eastAsia"/>
          <w:b/>
          <w:bCs/>
          <w:sz w:val="32"/>
          <w:szCs w:val="32"/>
        </w:rPr>
        <w:lastRenderedPageBreak/>
        <w:t>附錄一、住宅價格指數編製說明</w:t>
      </w:r>
      <w:bookmarkEnd w:id="15"/>
    </w:p>
    <w:p w:rsidR="006D7A0E" w:rsidRPr="00C422E6" w:rsidRDefault="006D7A0E" w:rsidP="007F5B21">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一、統計範圍及對象：全國及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直轄市屋齡</w:t>
      </w:r>
      <w:r w:rsidRPr="00C422E6">
        <w:rPr>
          <w:rFonts w:ascii="標楷體" w:eastAsia="標楷體" w:hAnsi="標楷體" w:cs="標楷體"/>
          <w:sz w:val="32"/>
          <w:szCs w:val="32"/>
        </w:rPr>
        <w:t>0.5</w:t>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60</w:t>
      </w:r>
      <w:r w:rsidRPr="00C422E6">
        <w:rPr>
          <w:rFonts w:ascii="標楷體" w:eastAsia="標楷體" w:hAnsi="標楷體" w:cs="標楷體" w:hint="eastAsia"/>
          <w:sz w:val="32"/>
          <w:szCs w:val="32"/>
        </w:rPr>
        <w:t>年之住宅。</w:t>
      </w:r>
    </w:p>
    <w:p w:rsidR="006D7A0E" w:rsidRPr="00C422E6" w:rsidRDefault="006D7A0E" w:rsidP="007F5B21">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二、發布時間：每季審查會結束後</w:t>
      </w:r>
      <w:r w:rsidRPr="00C422E6">
        <w:rPr>
          <w:rFonts w:ascii="標楷體" w:eastAsia="標楷體" w:hAnsi="標楷體" w:cs="標楷體"/>
          <w:sz w:val="32"/>
          <w:szCs w:val="32"/>
        </w:rPr>
        <w:t>2</w:t>
      </w:r>
      <w:r w:rsidRPr="00C422E6">
        <w:rPr>
          <w:rFonts w:ascii="標楷體" w:eastAsia="標楷體" w:hAnsi="標楷體" w:cs="標楷體" w:hint="eastAsia"/>
          <w:sz w:val="32"/>
          <w:szCs w:val="32"/>
        </w:rPr>
        <w:t>週內。</w:t>
      </w:r>
    </w:p>
    <w:p w:rsidR="006D7A0E" w:rsidRPr="00C422E6" w:rsidRDefault="006D7A0E" w:rsidP="007F5B21">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三、分類標準：全國及</w:t>
      </w:r>
      <w:r w:rsidRPr="00C422E6">
        <w:rPr>
          <w:rFonts w:ascii="標楷體" w:eastAsia="標楷體" w:hAnsi="標楷體" w:cs="標楷體"/>
          <w:sz w:val="32"/>
          <w:szCs w:val="32"/>
        </w:rPr>
        <w:t>6</w:t>
      </w:r>
      <w:r w:rsidRPr="00C422E6">
        <w:rPr>
          <w:rFonts w:ascii="標楷體" w:eastAsia="標楷體" w:hAnsi="標楷體" w:cs="標楷體" w:hint="eastAsia"/>
          <w:sz w:val="32"/>
          <w:szCs w:val="32"/>
        </w:rPr>
        <w:t>直轄市住宅價格指數。</w:t>
      </w:r>
    </w:p>
    <w:p w:rsidR="006D7A0E" w:rsidRPr="00C422E6" w:rsidRDefault="006D7A0E" w:rsidP="007F5B21">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四、基期：以</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年全年為基期（指數＝</w:t>
      </w:r>
      <w:r w:rsidRPr="00C422E6">
        <w:rPr>
          <w:rFonts w:ascii="標楷體" w:eastAsia="標楷體" w:hAnsi="標楷體" w:cs="標楷體"/>
          <w:sz w:val="32"/>
          <w:szCs w:val="32"/>
        </w:rPr>
        <w:t>100</w:t>
      </w:r>
      <w:r w:rsidRPr="00C422E6">
        <w:rPr>
          <w:rFonts w:ascii="標楷體" w:eastAsia="標楷體" w:hAnsi="標楷體" w:cs="標楷體" w:hint="eastAsia"/>
          <w:sz w:val="32"/>
          <w:szCs w:val="32"/>
        </w:rPr>
        <w:t>）。</w:t>
      </w:r>
    </w:p>
    <w:p w:rsidR="006D7A0E" w:rsidRPr="00C422E6" w:rsidRDefault="006D7A0E" w:rsidP="007F5B21">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t>五、編製方法：</w:t>
      </w:r>
    </w:p>
    <w:p w:rsidR="006D7A0E" w:rsidRPr="00C422E6" w:rsidRDefault="006D7A0E" w:rsidP="00EB4BE5">
      <w:pPr>
        <w:widowControl/>
        <w:spacing w:line="500" w:lineRule="atLeast"/>
        <w:ind w:leftChars="270" w:left="648"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本指數採用國際間通用的特徵價格法，以「標準住宅」（即以基準期間之交易住宅特徵《如建坪、屋齡……等住宅構成特徵》的平均數所形成的虛擬住宅，代表基期的標準化住宅品質，作為住宅價格指數計算時的權重，也是衡量相同品質住宅價格變動的工具），做為衡量整體住宅的價格變動，藉此克服過去國人慣用平均房價所存在的住宅品質不一致所產生的問題。</w:t>
      </w:r>
    </w:p>
    <w:p w:rsidR="006D7A0E" w:rsidRPr="00C422E6" w:rsidRDefault="006D7A0E" w:rsidP="00EB4BE5">
      <w:pPr>
        <w:widowControl/>
        <w:spacing w:line="500" w:lineRule="atLeast"/>
        <w:ind w:leftChars="140" w:left="336"/>
        <w:jc w:val="both"/>
        <w:rPr>
          <w:rFonts w:ascii="標楷體" w:eastAsia="標楷體" w:hAnsi="標楷體" w:cs="Times New Roman"/>
          <w:sz w:val="32"/>
          <w:szCs w:val="32"/>
        </w:rPr>
      </w:pPr>
      <w:r w:rsidRPr="00C422E6">
        <w:rPr>
          <w:rFonts w:ascii="標楷體" w:eastAsia="標楷體" w:hAnsi="標楷體" w:cs="標楷體" w:hint="eastAsia"/>
          <w:sz w:val="32"/>
          <w:szCs w:val="32"/>
        </w:rPr>
        <w:t>（一）設定各編製地區基期與標準住宅：</w:t>
      </w:r>
    </w:p>
    <w:p w:rsidR="006D7A0E" w:rsidRPr="00C422E6" w:rsidRDefault="006D7A0E" w:rsidP="00EB4BE5">
      <w:pPr>
        <w:widowControl/>
        <w:spacing w:line="500" w:lineRule="atLeast"/>
        <w:ind w:leftChars="540" w:left="1296"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住宅價格指數以民國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年全年為基期，將基期內所有住宅交易的主要品質</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如建坪、屋齡……等</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的平均數，組成「標準住宅」（例如新北市標準住宅的面積設定為</w:t>
      </w:r>
      <w:r w:rsidRPr="00C422E6">
        <w:rPr>
          <w:rFonts w:ascii="標楷體" w:eastAsia="標楷體" w:hAnsi="標楷體" w:cs="標楷體"/>
          <w:sz w:val="32"/>
          <w:szCs w:val="32"/>
        </w:rPr>
        <w:t>32</w:t>
      </w:r>
      <w:r w:rsidRPr="00C422E6">
        <w:rPr>
          <w:rFonts w:ascii="標楷體" w:eastAsia="標楷體" w:hAnsi="標楷體" w:cs="標楷體" w:hint="eastAsia"/>
          <w:sz w:val="32"/>
          <w:szCs w:val="32"/>
        </w:rPr>
        <w:t>坪，屋齡為</w:t>
      </w:r>
      <w:r w:rsidRPr="00C422E6">
        <w:rPr>
          <w:rFonts w:ascii="標楷體" w:eastAsia="標楷體" w:hAnsi="標楷體" w:cs="標楷體"/>
          <w:sz w:val="32"/>
          <w:szCs w:val="32"/>
        </w:rPr>
        <w:t>16</w:t>
      </w:r>
      <w:r w:rsidRPr="00C422E6">
        <w:rPr>
          <w:rFonts w:ascii="標楷體" w:eastAsia="標楷體" w:hAnsi="標楷體" w:cs="標楷體" w:hint="eastAsia"/>
          <w:sz w:val="32"/>
          <w:szCs w:val="32"/>
        </w:rPr>
        <w:t>年，另含其他屬性條件），代表該縣市在民國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年的住宅交易的典型。</w:t>
      </w:r>
    </w:p>
    <w:p w:rsidR="006D7A0E" w:rsidRPr="00C422E6" w:rsidRDefault="006D7A0E" w:rsidP="00EB4BE5">
      <w:pPr>
        <w:widowControl/>
        <w:spacing w:line="500" w:lineRule="atLeast"/>
        <w:ind w:leftChars="140" w:left="336"/>
        <w:jc w:val="both"/>
        <w:rPr>
          <w:rFonts w:ascii="標楷體" w:eastAsia="標楷體" w:hAnsi="標楷體" w:cs="Times New Roman"/>
          <w:sz w:val="32"/>
          <w:szCs w:val="32"/>
        </w:rPr>
      </w:pPr>
      <w:r w:rsidRPr="00C422E6">
        <w:rPr>
          <w:rFonts w:ascii="標楷體" w:eastAsia="標楷體" w:hAnsi="標楷體" w:cs="標楷體" w:hint="eastAsia"/>
          <w:sz w:val="32"/>
          <w:szCs w:val="32"/>
        </w:rPr>
        <w:t>（二）住宅價格指數計算方式：</w:t>
      </w:r>
    </w:p>
    <w:p w:rsidR="006D7A0E" w:rsidRPr="00C422E6" w:rsidRDefault="006D7A0E" w:rsidP="00EB4BE5">
      <w:pPr>
        <w:widowControl/>
        <w:spacing w:line="500" w:lineRule="atLeast"/>
        <w:ind w:leftChars="540" w:left="1296"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指數的計算採用拉氏（</w:t>
      </w:r>
      <w:r w:rsidRPr="00C422E6">
        <w:rPr>
          <w:rFonts w:ascii="標楷體" w:eastAsia="標楷體" w:hAnsi="標楷體" w:cs="標楷體"/>
          <w:sz w:val="32"/>
          <w:szCs w:val="32"/>
        </w:rPr>
        <w:t>Laspeyres</w:t>
      </w:r>
      <w:r w:rsidRPr="00C422E6">
        <w:rPr>
          <w:rFonts w:ascii="標楷體" w:eastAsia="標楷體" w:hAnsi="標楷體" w:cs="標楷體" w:hint="eastAsia"/>
          <w:sz w:val="32"/>
          <w:szCs w:val="32"/>
        </w:rPr>
        <w:t>）公式，以估計標準住宅在各季的總價，與基期估計的標準住宅總價相除，並轉為以基期</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w:t>
      </w:r>
      <w:r w:rsidRPr="00C422E6">
        <w:rPr>
          <w:rFonts w:ascii="標楷體" w:eastAsia="標楷體" w:hAnsi="標楷體" w:cs="標楷體"/>
          <w:sz w:val="32"/>
          <w:szCs w:val="32"/>
        </w:rPr>
        <w:t>)</w:t>
      </w:r>
      <w:r w:rsidRPr="00C422E6">
        <w:rPr>
          <w:rFonts w:ascii="標楷體" w:eastAsia="標楷體" w:hAnsi="標楷體" w:cs="標楷體" w:hint="eastAsia"/>
          <w:sz w:val="32"/>
          <w:szCs w:val="32"/>
        </w:rPr>
        <w:t>為</w:t>
      </w:r>
      <w:r w:rsidRPr="00C422E6">
        <w:rPr>
          <w:rFonts w:ascii="標楷體" w:eastAsia="標楷體" w:hAnsi="標楷體" w:cs="標楷體"/>
          <w:sz w:val="32"/>
          <w:szCs w:val="32"/>
        </w:rPr>
        <w:t>100</w:t>
      </w:r>
      <w:r w:rsidRPr="00C422E6">
        <w:rPr>
          <w:rFonts w:ascii="標楷體" w:eastAsia="標楷體" w:hAnsi="標楷體" w:cs="標楷體" w:hint="eastAsia"/>
          <w:sz w:val="32"/>
          <w:szCs w:val="32"/>
        </w:rPr>
        <w:t>的指數數列。</w:t>
      </w:r>
    </w:p>
    <w:p w:rsidR="006D7A0E" w:rsidRPr="00C422E6" w:rsidRDefault="006D7A0E" w:rsidP="00EB4BE5">
      <w:pPr>
        <w:widowControl/>
        <w:spacing w:line="500" w:lineRule="atLeast"/>
        <w:ind w:leftChars="540" w:left="1296"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例如，假設民國</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年（基期）標準住宅估計總價為</w:t>
      </w:r>
      <w:r w:rsidRPr="00C422E6">
        <w:rPr>
          <w:rFonts w:ascii="標楷體" w:eastAsia="標楷體" w:hAnsi="標楷體" w:cs="標楷體"/>
          <w:sz w:val="32"/>
          <w:szCs w:val="32"/>
        </w:rPr>
        <w:t>1,000</w:t>
      </w:r>
      <w:r w:rsidRPr="00C422E6">
        <w:rPr>
          <w:rFonts w:ascii="標楷體" w:eastAsia="標楷體" w:hAnsi="標楷體" w:cs="標楷體" w:hint="eastAsia"/>
          <w:sz w:val="32"/>
          <w:szCs w:val="32"/>
        </w:rPr>
        <w:t>萬元，</w:t>
      </w:r>
      <w:r w:rsidRPr="00C422E6">
        <w:rPr>
          <w:rFonts w:ascii="標楷體" w:eastAsia="標楷體" w:hAnsi="標楷體" w:cs="標楷體"/>
          <w:sz w:val="32"/>
          <w:szCs w:val="32"/>
        </w:rPr>
        <w:t>103</w:t>
      </w:r>
      <w:r w:rsidRPr="00C422E6">
        <w:rPr>
          <w:rFonts w:ascii="標楷體" w:eastAsia="標楷體" w:hAnsi="標楷體" w:cs="標楷體" w:hint="eastAsia"/>
          <w:sz w:val="32"/>
          <w:szCs w:val="32"/>
        </w:rPr>
        <w:t>年第</w:t>
      </w:r>
      <w:r w:rsidRPr="00C422E6">
        <w:rPr>
          <w:rFonts w:ascii="標楷體" w:eastAsia="標楷體" w:hAnsi="標楷體" w:cs="標楷體"/>
          <w:sz w:val="32"/>
          <w:szCs w:val="32"/>
        </w:rPr>
        <w:t>4</w:t>
      </w:r>
      <w:r w:rsidRPr="00C422E6">
        <w:rPr>
          <w:rFonts w:ascii="標楷體" w:eastAsia="標楷體" w:hAnsi="標楷體" w:cs="標楷體" w:hint="eastAsia"/>
          <w:sz w:val="32"/>
          <w:szCs w:val="32"/>
        </w:rPr>
        <w:t>季標準住宅估計總價為</w:t>
      </w:r>
      <w:r w:rsidRPr="00C422E6">
        <w:rPr>
          <w:rFonts w:ascii="標楷體" w:eastAsia="標楷體" w:hAnsi="標楷體" w:cs="標楷體"/>
          <w:sz w:val="32"/>
          <w:szCs w:val="32"/>
        </w:rPr>
        <w:t>1,050</w:t>
      </w:r>
      <w:r w:rsidRPr="00C422E6">
        <w:rPr>
          <w:rFonts w:ascii="標楷體" w:eastAsia="標楷體" w:hAnsi="標楷體" w:cs="標楷體" w:hint="eastAsia"/>
          <w:sz w:val="32"/>
          <w:szCs w:val="32"/>
        </w:rPr>
        <w:t>萬元，因基期的住宅價格指數設定為</w:t>
      </w:r>
      <w:r w:rsidRPr="00C422E6">
        <w:rPr>
          <w:rFonts w:ascii="標楷體" w:eastAsia="標楷體" w:hAnsi="標楷體" w:cs="標楷體"/>
          <w:sz w:val="32"/>
          <w:szCs w:val="32"/>
        </w:rPr>
        <w:t>100</w:t>
      </w:r>
      <w:r w:rsidRPr="00C422E6">
        <w:rPr>
          <w:rFonts w:ascii="標楷體" w:eastAsia="標楷體" w:hAnsi="標楷體" w:cs="標楷體" w:hint="eastAsia"/>
          <w:sz w:val="32"/>
          <w:szCs w:val="32"/>
        </w:rPr>
        <w:t>，故</w:t>
      </w:r>
      <w:r w:rsidRPr="00C422E6">
        <w:rPr>
          <w:rFonts w:ascii="標楷體" w:eastAsia="標楷體" w:hAnsi="標楷體" w:cs="標楷體"/>
          <w:sz w:val="32"/>
          <w:szCs w:val="32"/>
        </w:rPr>
        <w:t>103</w:t>
      </w:r>
      <w:r w:rsidRPr="00C422E6">
        <w:rPr>
          <w:rFonts w:ascii="標楷體" w:eastAsia="標楷體" w:hAnsi="標楷體" w:cs="標楷體" w:hint="eastAsia"/>
          <w:sz w:val="32"/>
          <w:szCs w:val="32"/>
        </w:rPr>
        <w:t>年第</w:t>
      </w:r>
      <w:r w:rsidRPr="00C422E6">
        <w:rPr>
          <w:rFonts w:ascii="標楷體" w:eastAsia="標楷體" w:hAnsi="標楷體" w:cs="標楷體"/>
          <w:sz w:val="32"/>
          <w:szCs w:val="32"/>
        </w:rPr>
        <w:t>4</w:t>
      </w:r>
      <w:r w:rsidRPr="00C422E6">
        <w:rPr>
          <w:rFonts w:ascii="標楷體" w:eastAsia="標楷體" w:hAnsi="標楷體" w:cs="標楷體" w:hint="eastAsia"/>
          <w:sz w:val="32"/>
          <w:szCs w:val="32"/>
        </w:rPr>
        <w:t>季住宅價格指數為</w:t>
      </w:r>
      <w:r w:rsidRPr="00C422E6">
        <w:rPr>
          <w:rFonts w:ascii="標楷體" w:eastAsia="標楷體" w:hAnsi="標楷體" w:cs="標楷體"/>
          <w:sz w:val="32"/>
          <w:szCs w:val="32"/>
        </w:rPr>
        <w:t xml:space="preserve">105 </w:t>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105=1050 / 1000 * 100</w:t>
      </w:r>
      <w:r w:rsidRPr="00C422E6">
        <w:rPr>
          <w:rFonts w:ascii="標楷體" w:eastAsia="標楷體" w:hAnsi="標楷體" w:cs="標楷體" w:hint="eastAsia"/>
          <w:sz w:val="32"/>
          <w:szCs w:val="32"/>
        </w:rPr>
        <w:t>）。表示該季住宅價格相對於</w:t>
      </w:r>
      <w:r w:rsidRPr="00C422E6">
        <w:rPr>
          <w:rFonts w:ascii="標楷體" w:eastAsia="標楷體" w:hAnsi="標楷體" w:cs="標楷體"/>
          <w:sz w:val="32"/>
          <w:szCs w:val="32"/>
        </w:rPr>
        <w:t>102</w:t>
      </w:r>
      <w:r w:rsidRPr="00C422E6">
        <w:rPr>
          <w:rFonts w:ascii="標楷體" w:eastAsia="標楷體" w:hAnsi="標楷體" w:cs="標楷體" w:hint="eastAsia"/>
          <w:sz w:val="32"/>
          <w:szCs w:val="32"/>
        </w:rPr>
        <w:t>年全年，上漲</w:t>
      </w:r>
      <w:r w:rsidRPr="00C422E6">
        <w:rPr>
          <w:rFonts w:ascii="標楷體" w:eastAsia="標楷體" w:hAnsi="標楷體" w:cs="標楷體"/>
          <w:sz w:val="32"/>
          <w:szCs w:val="32"/>
        </w:rPr>
        <w:t>5</w:t>
      </w:r>
      <w:r w:rsidRPr="00C422E6">
        <w:rPr>
          <w:rFonts w:ascii="標楷體" w:eastAsia="標楷體" w:hAnsi="標楷體" w:cs="標楷體" w:hint="eastAsia"/>
          <w:sz w:val="32"/>
          <w:szCs w:val="32"/>
        </w:rPr>
        <w:t>％。</w:t>
      </w:r>
    </w:p>
    <w:p w:rsidR="006D7A0E" w:rsidRPr="00C422E6" w:rsidRDefault="006D7A0E" w:rsidP="007F5B21">
      <w:pPr>
        <w:widowControl/>
        <w:spacing w:beforeLines="50" w:before="120" w:line="500" w:lineRule="atLeast"/>
        <w:jc w:val="both"/>
        <w:rPr>
          <w:rFonts w:ascii="標楷體" w:eastAsia="標楷體" w:hAnsi="標楷體" w:cs="Times New Roman"/>
          <w:sz w:val="32"/>
          <w:szCs w:val="32"/>
        </w:rPr>
      </w:pPr>
      <w:r w:rsidRPr="00C422E6">
        <w:rPr>
          <w:rFonts w:ascii="標楷體" w:eastAsia="標楷體" w:hAnsi="標楷體" w:cs="標楷體" w:hint="eastAsia"/>
          <w:sz w:val="32"/>
          <w:szCs w:val="32"/>
        </w:rPr>
        <w:lastRenderedPageBreak/>
        <w:t>六、資料來源：</w:t>
      </w:r>
    </w:p>
    <w:p w:rsidR="006D7A0E" w:rsidRPr="00C422E6" w:rsidRDefault="006D7A0E" w:rsidP="00EB4BE5">
      <w:pPr>
        <w:widowControl/>
        <w:spacing w:line="500" w:lineRule="atLeast"/>
        <w:ind w:leftChars="270" w:left="648" w:firstLineChars="200" w:firstLine="640"/>
        <w:jc w:val="both"/>
        <w:rPr>
          <w:rFonts w:ascii="標楷體" w:eastAsia="標楷體" w:hAnsi="標楷體" w:cs="Times New Roman"/>
          <w:sz w:val="32"/>
          <w:szCs w:val="32"/>
        </w:rPr>
      </w:pPr>
      <w:r w:rsidRPr="00C422E6">
        <w:rPr>
          <w:rFonts w:ascii="標楷體" w:eastAsia="標楷體" w:hAnsi="標楷體" w:cs="標楷體" w:hint="eastAsia"/>
          <w:sz w:val="32"/>
          <w:szCs w:val="32"/>
        </w:rPr>
        <w:t>為不動產交易實價查詢服務網資料庫（實價登錄）成交案件之交易價格資料。</w:t>
      </w:r>
    </w:p>
    <w:p w:rsidR="006D7A0E" w:rsidRPr="00C422E6" w:rsidRDefault="006D7A0E" w:rsidP="007F5B21">
      <w:pPr>
        <w:widowControl/>
        <w:spacing w:beforeLines="50" w:before="120"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七、嗣後已發布之統計資料若有修正，將依各機關統計資料發布要點第</w:t>
      </w:r>
      <w:r w:rsidRPr="00C422E6">
        <w:rPr>
          <w:rFonts w:ascii="標楷體" w:eastAsia="標楷體" w:hAnsi="標楷體" w:cs="標楷體"/>
          <w:sz w:val="32"/>
          <w:szCs w:val="32"/>
        </w:rPr>
        <w:t>7</w:t>
      </w:r>
      <w:r w:rsidRPr="00C422E6">
        <w:rPr>
          <w:rFonts w:ascii="標楷體" w:eastAsia="標楷體" w:hAnsi="標楷體" w:cs="標楷體" w:hint="eastAsia"/>
          <w:sz w:val="32"/>
          <w:szCs w:val="32"/>
        </w:rPr>
        <w:t>條規定：「各機關如需對已發布之統計資料修正，應將修正資料發布，並註明其修正原因，送各該政府主計機關備查。如涉及資料定義、統計方法等重大事項之變更，應同時修正資料背景說明併同修正資料發布，送各該政府主計機關備查。」辦理。</w:t>
      </w:r>
    </w:p>
    <w:p w:rsidR="006D7A0E" w:rsidRPr="00C422E6" w:rsidRDefault="006D7A0E" w:rsidP="007F5B21">
      <w:pPr>
        <w:adjustRightInd w:val="0"/>
        <w:snapToGrid w:val="0"/>
        <w:spacing w:afterLines="50" w:after="120" w:line="500" w:lineRule="atLeast"/>
        <w:jc w:val="both"/>
        <w:outlineLvl w:val="0"/>
        <w:rPr>
          <w:rFonts w:ascii="標楷體" w:eastAsia="標楷體" w:hAnsi="標楷體" w:cs="Times New Roman"/>
        </w:rPr>
      </w:pPr>
    </w:p>
    <w:p w:rsidR="006D7A0E" w:rsidRPr="00C422E6" w:rsidRDefault="006D7A0E" w:rsidP="007F5B21">
      <w:pPr>
        <w:adjustRightInd w:val="0"/>
        <w:snapToGrid w:val="0"/>
        <w:spacing w:afterLines="50" w:after="120" w:line="500" w:lineRule="atLeast"/>
        <w:jc w:val="both"/>
        <w:outlineLvl w:val="0"/>
        <w:rPr>
          <w:rFonts w:ascii="標楷體" w:eastAsia="標楷體" w:hAnsi="標楷體" w:cs="Times New Roman"/>
          <w:b/>
          <w:bCs/>
          <w:sz w:val="32"/>
          <w:szCs w:val="32"/>
        </w:rPr>
      </w:pPr>
      <w:bookmarkStart w:id="16" w:name="_Toc444595145"/>
      <w:r w:rsidRPr="00C422E6">
        <w:rPr>
          <w:rFonts w:ascii="標楷體" w:eastAsia="標楷體" w:hAnsi="標楷體" w:cs="標楷體" w:hint="eastAsia"/>
          <w:b/>
          <w:bCs/>
          <w:sz w:val="32"/>
          <w:szCs w:val="32"/>
        </w:rPr>
        <w:t>附錄</w:t>
      </w:r>
      <w:r w:rsidRPr="00C422E6">
        <w:rPr>
          <w:rFonts w:ascii="標楷體" w:eastAsia="標楷體" w:hAnsi="標楷體" w:cs="標楷體" w:hint="eastAsia"/>
          <w:sz w:val="32"/>
          <w:szCs w:val="32"/>
        </w:rPr>
        <w:t>二</w:t>
      </w:r>
      <w:r w:rsidRPr="00C422E6">
        <w:rPr>
          <w:rFonts w:ascii="標楷體" w:eastAsia="標楷體" w:hAnsi="標楷體" w:cs="標楷體" w:hint="eastAsia"/>
          <w:b/>
          <w:bCs/>
          <w:sz w:val="32"/>
          <w:szCs w:val="32"/>
        </w:rPr>
        <w:t>、標準住宅及住宅價格指數之問與答</w:t>
      </w:r>
      <w:bookmarkEnd w:id="16"/>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一、何謂標準住宅：</w:t>
      </w:r>
    </w:p>
    <w:p w:rsidR="006D7A0E" w:rsidRPr="00C422E6" w:rsidRDefault="006D7A0E"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答：「標準住宅」是用基準期間（稱為基期）交易住宅特徵的平均數所形成的虛擬住宅，代表基期的標準化住宅品質，作為住宅價格指數計算時的權重，也是衡量相同品質住宅價格變動的工具。</w:t>
      </w:r>
    </w:p>
    <w:p w:rsidR="006D7A0E" w:rsidRPr="00C422E6" w:rsidRDefault="006D7A0E" w:rsidP="007F5B21">
      <w:pPr>
        <w:adjustRightInd w:val="0"/>
        <w:snapToGrid w:val="0"/>
        <w:spacing w:beforeLines="50" w:before="120"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二、為什麼使用標準住宅？</w:t>
      </w:r>
    </w:p>
    <w:p w:rsidR="006D7A0E" w:rsidRPr="00C422E6" w:rsidRDefault="006D7A0E"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標準住宅的設計與主計總處消費者物價指數之「一籃子貨物」相似，以品質固定的標準住宅，配合特徵價格模型所估算的各項特徵價格，可做為衡量整體住宅的價格變動，藉此克服過去國人慣用的平均房價所存在的住宅品質不一致所產生的問題。</w:t>
      </w:r>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三、標準住宅是否有代表性？其代表性為何？</w:t>
      </w:r>
    </w:p>
    <w:p w:rsidR="006D7A0E" w:rsidRPr="00C422E6" w:rsidRDefault="006D7A0E"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答：標準住宅選用基準期間住宅交易的特徵（如面積、屋齡……等住宅構成屬性）的平均值，代表該地區住宅交易典型的標準化品質。</w:t>
      </w:r>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四、標準住宅為何不選定一個實際存在的住宅？</w:t>
      </w:r>
    </w:p>
    <w:p w:rsidR="006D7A0E" w:rsidRPr="00C422E6" w:rsidRDefault="006D7A0E"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答：特定實體住宅之各項特徵未必均為特定時間、地區住宅交易的代表，且特定實體住宅無法在每一季均發生交易。</w:t>
      </w:r>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五、標準住宅在不同的區域是否相同？</w:t>
      </w:r>
    </w:p>
    <w:p w:rsidR="006D7A0E" w:rsidRPr="00C422E6" w:rsidRDefault="006D7A0E" w:rsidP="00126ECB">
      <w:pPr>
        <w:adjustRightInd w:val="0"/>
        <w:snapToGrid w:val="0"/>
        <w:spacing w:line="500" w:lineRule="atLeast"/>
        <w:ind w:left="992" w:hangingChars="310" w:hanging="992"/>
        <w:jc w:val="both"/>
        <w:rPr>
          <w:rFonts w:ascii="標楷體" w:eastAsia="標楷體" w:hAnsi="標楷體" w:cs="Times New Roman"/>
          <w:sz w:val="32"/>
          <w:szCs w:val="32"/>
        </w:rPr>
      </w:pPr>
      <w:r w:rsidRPr="00C422E6">
        <w:rPr>
          <w:rFonts w:ascii="標楷體" w:eastAsia="標楷體" w:hAnsi="標楷體" w:cs="標楷體" w:hint="eastAsia"/>
          <w:sz w:val="32"/>
          <w:szCs w:val="32"/>
        </w:rPr>
        <w:t>答：不同區域的住宅交易典型並不相同，因此標準住宅也不相同。</w:t>
      </w:r>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lastRenderedPageBreak/>
        <w:t>六、使用標準住宅來衡量房價變化，是否會低估了房價上漲的力量？</w:t>
      </w:r>
    </w:p>
    <w:p w:rsidR="006D7A0E" w:rsidRPr="00C422E6" w:rsidRDefault="006D7A0E"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以標準住宅編製的指數代表標準住宅（即市場交易的典型住宅）的價格變化，由於估計的是以相同住宅品質的價格，因此不會受各季度交易物件品質差異的影響，尚無低估房價上漲力量的問題；本案編製的範圍未包含特殊類型住宅的價格變化，如小坪數住宅或高總價住宅或特定地段之房價。</w:t>
      </w:r>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七、住宅價格指數可否跨縣市比較？</w:t>
      </w:r>
    </w:p>
    <w:p w:rsidR="006D7A0E" w:rsidRPr="00C422E6" w:rsidRDefault="006D7A0E" w:rsidP="00126ECB">
      <w:pPr>
        <w:adjustRightInd w:val="0"/>
        <w:snapToGrid w:val="0"/>
        <w:spacing w:line="500" w:lineRule="atLeast"/>
        <w:ind w:leftChars="-1" w:left="718" w:hangingChars="225" w:hanging="720"/>
        <w:jc w:val="both"/>
        <w:rPr>
          <w:rFonts w:ascii="標楷體" w:eastAsia="標楷體" w:hAnsi="標楷體" w:cs="Times New Roman"/>
          <w:sz w:val="32"/>
          <w:szCs w:val="32"/>
        </w:rPr>
      </w:pPr>
      <w:r w:rsidRPr="00C422E6">
        <w:rPr>
          <w:rFonts w:ascii="標楷體" w:eastAsia="標楷體" w:hAnsi="標楷體" w:cs="標楷體" w:hint="eastAsia"/>
          <w:sz w:val="32"/>
          <w:szCs w:val="32"/>
        </w:rPr>
        <w:t>答：各縣市的住宅價格指數是獨立編製，依照其各自標準住宅的價格變動來編製指數，指數本身無法跨縣市比較；但指數變動率則可跨縣市比較。</w:t>
      </w:r>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八、國際上有哪些國家的住宅價格指數也採用「標準住宅」？</w:t>
      </w:r>
    </w:p>
    <w:p w:rsidR="006D7A0E" w:rsidRPr="00C422E6" w:rsidRDefault="006D7A0E"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答：目前英國的</w:t>
      </w:r>
      <w:r w:rsidRPr="00C422E6">
        <w:rPr>
          <w:rFonts w:ascii="標楷體" w:eastAsia="標楷體" w:hAnsi="標楷體" w:cs="標楷體"/>
          <w:sz w:val="32"/>
          <w:szCs w:val="32"/>
        </w:rPr>
        <w:t>Halifax House Price Index</w:t>
      </w:r>
      <w:r w:rsidRPr="00C422E6">
        <w:rPr>
          <w:rFonts w:ascii="標楷體" w:eastAsia="標楷體" w:hAnsi="標楷體" w:cs="標楷體" w:hint="eastAsia"/>
          <w:sz w:val="32"/>
          <w:szCs w:val="32"/>
        </w:rPr>
        <w:t>及德國的</w:t>
      </w:r>
      <w:r w:rsidRPr="00C422E6">
        <w:rPr>
          <w:rFonts w:ascii="標楷體" w:eastAsia="標楷體" w:hAnsi="標楷體" w:cs="標楷體"/>
          <w:sz w:val="32"/>
          <w:szCs w:val="32"/>
        </w:rPr>
        <w:t>House Price Index</w:t>
      </w:r>
      <w:r w:rsidRPr="00C422E6">
        <w:rPr>
          <w:rFonts w:ascii="標楷體" w:eastAsia="標楷體" w:hAnsi="標楷體" w:cs="標楷體" w:hint="eastAsia"/>
          <w:sz w:val="32"/>
          <w:szCs w:val="32"/>
        </w:rPr>
        <w:t>係使用類似標準住宅的概念編製住宅價格指數。</w:t>
      </w:r>
    </w:p>
    <w:p w:rsidR="006D7A0E" w:rsidRPr="00C422E6" w:rsidRDefault="006D7A0E" w:rsidP="007F5B21">
      <w:pPr>
        <w:adjustRightInd w:val="0"/>
        <w:snapToGrid w:val="0"/>
        <w:spacing w:beforeLines="50" w:before="120" w:line="500" w:lineRule="atLeast"/>
        <w:ind w:left="656" w:hangingChars="205" w:hanging="656"/>
        <w:jc w:val="both"/>
        <w:rPr>
          <w:rFonts w:ascii="標楷體" w:eastAsia="標楷體" w:hAnsi="標楷體" w:cs="Times New Roman"/>
          <w:sz w:val="32"/>
          <w:szCs w:val="32"/>
        </w:rPr>
      </w:pPr>
      <w:r w:rsidRPr="00C422E6">
        <w:rPr>
          <w:rFonts w:ascii="標楷體" w:eastAsia="標楷體" w:hAnsi="標楷體" w:cs="標楷體" w:hint="eastAsia"/>
          <w:sz w:val="32"/>
          <w:szCs w:val="32"/>
        </w:rPr>
        <w:t>九、指數變動率該如何解讀？其計算公式為何？</w:t>
      </w:r>
    </w:p>
    <w:p w:rsidR="006D7A0E" w:rsidRPr="00C422E6" w:rsidRDefault="006D7A0E" w:rsidP="00EC3E56">
      <w:pPr>
        <w:adjustRightInd w:val="0"/>
        <w:snapToGrid w:val="0"/>
        <w:spacing w:line="500" w:lineRule="atLeast"/>
        <w:ind w:left="598" w:hangingChars="187" w:hanging="598"/>
        <w:jc w:val="both"/>
        <w:rPr>
          <w:rFonts w:ascii="標楷體" w:eastAsia="標楷體" w:hAnsi="標楷體" w:cs="Times New Roman"/>
          <w:sz w:val="32"/>
          <w:szCs w:val="32"/>
        </w:rPr>
      </w:pPr>
      <w:r w:rsidRPr="00C422E6">
        <w:rPr>
          <w:rFonts w:ascii="標楷體" w:eastAsia="標楷體" w:hAnsi="標楷體" w:cs="標楷體" w:hint="eastAsia"/>
          <w:sz w:val="32"/>
          <w:szCs w:val="32"/>
        </w:rPr>
        <w:t>答：指數變動率代表住宅價格的變動幅度與趨勢，「本季對上季變動率」為住宅價格的短期變動幅度；「本季對去年同季變動率」除為住宅價格的年度變動幅度外，並可降低季節性因素所產生的價格效果。有關「本季對上季變動率」之計算公式如（</w:t>
      </w:r>
      <w:r w:rsidRPr="00C422E6">
        <w:rPr>
          <w:rFonts w:ascii="標楷體" w:eastAsia="標楷體" w:hAnsi="標楷體" w:cs="標楷體"/>
          <w:sz w:val="32"/>
          <w:szCs w:val="32"/>
        </w:rPr>
        <w:t>1</w:t>
      </w:r>
      <w:r w:rsidRPr="00C422E6">
        <w:rPr>
          <w:rFonts w:ascii="標楷體" w:eastAsia="標楷體" w:hAnsi="標楷體" w:cs="標楷體" w:hint="eastAsia"/>
          <w:sz w:val="32"/>
          <w:szCs w:val="32"/>
        </w:rPr>
        <w:t>）；「本季對去年同季變動率」計算公式如（</w:t>
      </w:r>
      <w:r w:rsidRPr="00C422E6">
        <w:rPr>
          <w:rFonts w:ascii="標楷體" w:eastAsia="標楷體" w:hAnsi="標楷體" w:cs="標楷體"/>
          <w:sz w:val="32"/>
          <w:szCs w:val="32"/>
        </w:rPr>
        <w:t>2</w:t>
      </w:r>
      <w:r w:rsidRPr="00C422E6">
        <w:rPr>
          <w:rFonts w:ascii="標楷體" w:eastAsia="標楷體" w:hAnsi="標楷體" w:cs="標楷體" w:hint="eastAsia"/>
          <w:sz w:val="32"/>
          <w:szCs w:val="32"/>
        </w:rPr>
        <w:t>）。</w:t>
      </w:r>
    </w:p>
    <w:p w:rsidR="006D7A0E" w:rsidRPr="00C422E6" w:rsidRDefault="006D7A0E" w:rsidP="00EB4BE5">
      <w:pPr>
        <w:adjustRightInd w:val="0"/>
        <w:snapToGrid w:val="0"/>
        <w:spacing w:line="500" w:lineRule="atLeast"/>
        <w:ind w:leftChars="140" w:left="992" w:hangingChars="205" w:hanging="656"/>
        <w:jc w:val="both"/>
        <w:rPr>
          <w:rFonts w:ascii="標楷體" w:eastAsia="標楷體" w:hAnsi="標楷體" w:cs="Times New Roman"/>
          <w:sz w:val="32"/>
          <w:szCs w:val="32"/>
        </w:rPr>
      </w:pPr>
    </w:p>
    <w:p w:rsidR="006D7A0E" w:rsidRPr="00C422E6" w:rsidRDefault="006D7A0E" w:rsidP="00EB4BE5">
      <w:pPr>
        <w:adjustRightInd w:val="0"/>
        <w:snapToGrid w:val="0"/>
        <w:spacing w:line="500" w:lineRule="atLeast"/>
        <w:ind w:leftChars="414" w:left="994" w:firstLineChars="150" w:firstLine="480"/>
        <w:jc w:val="both"/>
        <w:rPr>
          <w:rFonts w:ascii="標楷體" w:eastAsia="標楷體" w:hAnsi="標楷體" w:cs="Times New Roman"/>
          <w:sz w:val="32"/>
          <w:szCs w:val="32"/>
        </w:rPr>
      </w:pPr>
      <w:r w:rsidRPr="00C422E6">
        <w:rPr>
          <w:rFonts w:ascii="標楷體" w:eastAsia="標楷體" w:hAnsi="標楷體" w:cs="Times New Roman"/>
          <w:position w:val="-28"/>
          <w:sz w:val="32"/>
          <w:szCs w:val="32"/>
        </w:rPr>
        <w:object w:dxaOrig="3159" w:dyaOrig="660">
          <v:shape id="_x0000_i1034" type="#_x0000_t75" style="width:156.75pt;height:33pt" o:ole="">
            <v:imagedata r:id="rId9" o:title=""/>
          </v:shape>
          <o:OLEObject Type="Embed" ProgID="Equation.3" ShapeID="_x0000_i1034" DrawAspect="Content" ObjectID="_1559651275" r:id="rId20"/>
        </w:object>
      </w:r>
      <w:r w:rsidRPr="00C422E6">
        <w:rPr>
          <w:rFonts w:ascii="標楷體" w:eastAsia="標楷體" w:hAnsi="標楷體" w:cs="Times New Roman"/>
          <w:sz w:val="32"/>
          <w:szCs w:val="32"/>
        </w:rPr>
        <w:tab/>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1</w:t>
      </w:r>
      <w:r w:rsidRPr="00C422E6">
        <w:rPr>
          <w:rFonts w:ascii="標楷體" w:eastAsia="標楷體" w:hAnsi="標楷體" w:cs="標楷體" w:hint="eastAsia"/>
          <w:sz w:val="32"/>
          <w:szCs w:val="32"/>
        </w:rPr>
        <w:t>）</w:t>
      </w:r>
    </w:p>
    <w:p w:rsidR="006D7A0E" w:rsidRPr="00C422E6" w:rsidRDefault="006D7A0E" w:rsidP="00EB4BE5">
      <w:pPr>
        <w:adjustRightInd w:val="0"/>
        <w:snapToGrid w:val="0"/>
        <w:spacing w:line="500" w:lineRule="atLeast"/>
        <w:ind w:leftChars="140" w:left="992" w:hangingChars="205" w:hanging="656"/>
        <w:jc w:val="both"/>
        <w:rPr>
          <w:rFonts w:ascii="標楷體" w:eastAsia="標楷體" w:hAnsi="標楷體" w:cs="Times New Roman"/>
          <w:sz w:val="32"/>
          <w:szCs w:val="32"/>
        </w:rPr>
      </w:pPr>
    </w:p>
    <w:p w:rsidR="006D7A0E" w:rsidRPr="00C422E6" w:rsidRDefault="006D7A0E" w:rsidP="00EB4BE5">
      <w:pPr>
        <w:adjustRightInd w:val="0"/>
        <w:snapToGrid w:val="0"/>
        <w:spacing w:line="500" w:lineRule="atLeast"/>
        <w:ind w:leftChars="414" w:left="994" w:firstLineChars="100" w:firstLine="320"/>
        <w:jc w:val="both"/>
        <w:rPr>
          <w:rFonts w:ascii="標楷體" w:eastAsia="標楷體" w:hAnsi="標楷體" w:cs="標楷體"/>
          <w:sz w:val="32"/>
          <w:szCs w:val="32"/>
        </w:rPr>
      </w:pPr>
      <w:r w:rsidRPr="00C422E6">
        <w:rPr>
          <w:rFonts w:ascii="標楷體" w:eastAsia="標楷體" w:hAnsi="標楷體" w:cs="Times New Roman"/>
          <w:sz w:val="32"/>
          <w:szCs w:val="32"/>
        </w:rPr>
        <w:tab/>
      </w:r>
      <w:r w:rsidRPr="00C422E6">
        <w:rPr>
          <w:rFonts w:ascii="標楷體" w:eastAsia="標楷體" w:hAnsi="標楷體" w:cs="Times New Roman"/>
          <w:position w:val="-28"/>
          <w:sz w:val="32"/>
          <w:szCs w:val="32"/>
        </w:rPr>
        <w:object w:dxaOrig="3640" w:dyaOrig="660">
          <v:shape id="_x0000_i1035" type="#_x0000_t75" style="width:178.5pt;height:33pt" o:ole="">
            <v:imagedata r:id="rId21" o:title=""/>
          </v:shape>
          <o:OLEObject Type="Embed" ProgID="Equation.3" ShapeID="_x0000_i1035" DrawAspect="Content" ObjectID="_1559651276" r:id="rId22"/>
        </w:object>
      </w:r>
      <w:r w:rsidRPr="00C422E6">
        <w:rPr>
          <w:rFonts w:ascii="標楷體" w:eastAsia="標楷體" w:hAnsi="標楷體" w:cs="標楷體" w:hint="eastAsia"/>
          <w:sz w:val="32"/>
          <w:szCs w:val="32"/>
        </w:rPr>
        <w:t>……………（</w:t>
      </w:r>
      <w:r w:rsidRPr="00C422E6">
        <w:rPr>
          <w:rFonts w:ascii="標楷體" w:eastAsia="標楷體" w:hAnsi="標楷體" w:cs="標楷體"/>
          <w:sz w:val="32"/>
          <w:szCs w:val="32"/>
        </w:rPr>
        <w:t>2)</w:t>
      </w:r>
    </w:p>
    <w:sectPr w:rsidR="006D7A0E" w:rsidRPr="00C422E6" w:rsidSect="00283290">
      <w:pgSz w:w="11906" w:h="16838" w:code="9"/>
      <w:pgMar w:top="1247" w:right="1191" w:bottom="1247" w:left="1191" w:header="851" w:footer="851" w:gutter="0"/>
      <w:pgNumType w:start="2"/>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16" w:rsidRDefault="00E00A16" w:rsidP="007B005C">
      <w:pPr>
        <w:rPr>
          <w:rFonts w:cs="Times New Roman"/>
        </w:rPr>
      </w:pPr>
      <w:r>
        <w:rPr>
          <w:rFonts w:cs="Times New Roman"/>
        </w:rPr>
        <w:separator/>
      </w:r>
    </w:p>
  </w:endnote>
  <w:endnote w:type="continuationSeparator" w:id="0">
    <w:p w:rsidR="00E00A16" w:rsidRDefault="00E00A16" w:rsidP="007B00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0E" w:rsidRDefault="006D7A0E" w:rsidP="00283290">
    <w:pPr>
      <w:pStyle w:val="a8"/>
      <w:framePr w:wrap="auto" w:vAnchor="text" w:hAnchor="margin" w:xAlign="center" w:y="1"/>
      <w:rPr>
        <w:rStyle w:val="aa"/>
        <w:rFonts w:cs="Times New Roman"/>
      </w:rPr>
    </w:pPr>
    <w:r>
      <w:rPr>
        <w:rStyle w:val="aa"/>
      </w:rPr>
      <w:fldChar w:fldCharType="begin"/>
    </w:r>
    <w:r>
      <w:rPr>
        <w:rStyle w:val="aa"/>
      </w:rPr>
      <w:instrText xml:space="preserve">PAGE  </w:instrText>
    </w:r>
    <w:r>
      <w:rPr>
        <w:rStyle w:val="aa"/>
      </w:rPr>
      <w:fldChar w:fldCharType="separate"/>
    </w:r>
    <w:r w:rsidR="007E2443">
      <w:rPr>
        <w:rStyle w:val="aa"/>
        <w:noProof/>
      </w:rPr>
      <w:t>15</w:t>
    </w:r>
    <w:r>
      <w:rPr>
        <w:rStyle w:val="aa"/>
      </w:rPr>
      <w:fldChar w:fldCharType="end"/>
    </w:r>
  </w:p>
  <w:p w:rsidR="006D7A0E" w:rsidRDefault="006D7A0E" w:rsidP="00BD3F18">
    <w:pPr>
      <w:pStyle w:val="a8"/>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16" w:rsidRDefault="00E00A16" w:rsidP="007B005C">
      <w:pPr>
        <w:rPr>
          <w:rFonts w:cs="Times New Roman"/>
        </w:rPr>
      </w:pPr>
      <w:r>
        <w:rPr>
          <w:rFonts w:cs="Times New Roman"/>
        </w:rPr>
        <w:separator/>
      </w:r>
    </w:p>
  </w:footnote>
  <w:footnote w:type="continuationSeparator" w:id="0">
    <w:p w:rsidR="00E00A16" w:rsidRDefault="00E00A16" w:rsidP="007B005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BCB782"/>
    <w:lvl w:ilvl="0">
      <w:start w:val="1"/>
      <w:numFmt w:val="decimal"/>
      <w:lvlText w:val="%1."/>
      <w:lvlJc w:val="left"/>
      <w:pPr>
        <w:tabs>
          <w:tab w:val="num" w:pos="2281"/>
        </w:tabs>
        <w:ind w:left="2281" w:hanging="360"/>
      </w:pPr>
    </w:lvl>
  </w:abstractNum>
  <w:abstractNum w:abstractNumId="1">
    <w:nsid w:val="FFFFFF7D"/>
    <w:multiLevelType w:val="singleLevel"/>
    <w:tmpl w:val="71CAEC70"/>
    <w:lvl w:ilvl="0">
      <w:start w:val="1"/>
      <w:numFmt w:val="decimal"/>
      <w:lvlText w:val="%1."/>
      <w:lvlJc w:val="left"/>
      <w:pPr>
        <w:tabs>
          <w:tab w:val="num" w:pos="1801"/>
        </w:tabs>
        <w:ind w:left="1801" w:hanging="360"/>
      </w:pPr>
    </w:lvl>
  </w:abstractNum>
  <w:abstractNum w:abstractNumId="2">
    <w:nsid w:val="FFFFFF7E"/>
    <w:multiLevelType w:val="singleLevel"/>
    <w:tmpl w:val="20722D84"/>
    <w:lvl w:ilvl="0">
      <w:start w:val="1"/>
      <w:numFmt w:val="decimal"/>
      <w:lvlText w:val="%1."/>
      <w:lvlJc w:val="left"/>
      <w:pPr>
        <w:tabs>
          <w:tab w:val="num" w:pos="1321"/>
        </w:tabs>
        <w:ind w:left="1321" w:hanging="360"/>
      </w:pPr>
    </w:lvl>
  </w:abstractNum>
  <w:abstractNum w:abstractNumId="3">
    <w:nsid w:val="FFFFFF7F"/>
    <w:multiLevelType w:val="singleLevel"/>
    <w:tmpl w:val="1CEA8A40"/>
    <w:lvl w:ilvl="0">
      <w:start w:val="1"/>
      <w:numFmt w:val="decimal"/>
      <w:lvlText w:val="%1."/>
      <w:lvlJc w:val="left"/>
      <w:pPr>
        <w:tabs>
          <w:tab w:val="num" w:pos="841"/>
        </w:tabs>
        <w:ind w:left="841" w:hanging="360"/>
      </w:pPr>
    </w:lvl>
  </w:abstractNum>
  <w:abstractNum w:abstractNumId="4">
    <w:nsid w:val="FFFFFF80"/>
    <w:multiLevelType w:val="singleLevel"/>
    <w:tmpl w:val="A7F86412"/>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C7E4D22"/>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EADC9E5C"/>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C7AA61F2"/>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6BFAF622"/>
    <w:lvl w:ilvl="0">
      <w:start w:val="1"/>
      <w:numFmt w:val="decimal"/>
      <w:lvlText w:val="%1."/>
      <w:lvlJc w:val="left"/>
      <w:pPr>
        <w:tabs>
          <w:tab w:val="num" w:pos="361"/>
        </w:tabs>
        <w:ind w:left="361" w:hanging="360"/>
      </w:pPr>
    </w:lvl>
  </w:abstractNum>
  <w:abstractNum w:abstractNumId="9">
    <w:nsid w:val="FFFFFF89"/>
    <w:multiLevelType w:val="singleLevel"/>
    <w:tmpl w:val="77CAE8C0"/>
    <w:lvl w:ilvl="0">
      <w:start w:val="1"/>
      <w:numFmt w:val="bullet"/>
      <w:lvlText w:val=""/>
      <w:lvlJc w:val="left"/>
      <w:pPr>
        <w:tabs>
          <w:tab w:val="num" w:pos="361"/>
        </w:tabs>
        <w:ind w:left="361" w:hanging="360"/>
      </w:pPr>
      <w:rPr>
        <w:rFonts w:ascii="Wingdings" w:hAnsi="Wingdings" w:cs="Wingdings" w:hint="default"/>
      </w:rPr>
    </w:lvl>
  </w:abstractNum>
  <w:abstractNum w:abstractNumId="10">
    <w:nsid w:val="052F1D83"/>
    <w:multiLevelType w:val="hybridMultilevel"/>
    <w:tmpl w:val="71D2FB46"/>
    <w:lvl w:ilvl="0" w:tplc="DF3A364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0BB00B81"/>
    <w:multiLevelType w:val="multilevel"/>
    <w:tmpl w:val="8A10F690"/>
    <w:styleLink w:val="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6" w:hanging="756"/>
      </w:pPr>
      <w:rPr>
        <w:rFonts w:hAnsi="Arial Unicode MS"/>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728" w:hanging="1008"/>
      </w:pPr>
      <w:rPr>
        <w:rFonts w:hAnsi="Arial Unicode MS"/>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217"/>
        </w:tabs>
        <w:ind w:left="2306" w:hanging="1226"/>
      </w:pPr>
      <w:rPr>
        <w:rFonts w:hAnsi="Arial Unicode MS"/>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left" w:pos="709"/>
          <w:tab w:val="left" w:pos="1418"/>
          <w:tab w:val="left" w:pos="3545"/>
          <w:tab w:val="left" w:pos="4254"/>
          <w:tab w:val="left" w:pos="4963"/>
          <w:tab w:val="left" w:pos="5672"/>
          <w:tab w:val="left" w:pos="6381"/>
          <w:tab w:val="left" w:pos="7090"/>
          <w:tab w:val="left" w:pos="7799"/>
          <w:tab w:val="left" w:pos="8508"/>
          <w:tab w:val="left" w:pos="9217"/>
        </w:tabs>
        <w:ind w:left="2902" w:hanging="1462"/>
      </w:pPr>
      <w:rPr>
        <w:rFonts w:hAnsi="Arial Unicode MS"/>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217"/>
        </w:tabs>
        <w:ind w:left="3480" w:hanging="1680"/>
      </w:pPr>
      <w:rPr>
        <w:rFonts w:hAnsi="Arial Unicode M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217"/>
        </w:tabs>
        <w:ind w:left="4092" w:hanging="1932"/>
      </w:pPr>
      <w:rPr>
        <w:rFonts w:hAnsi="Arial Unicode M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217"/>
        </w:tabs>
        <w:ind w:left="4670" w:hanging="2150"/>
      </w:pPr>
      <w:rPr>
        <w:rFonts w:hAnsi="Arial Unicode M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left" w:pos="709"/>
          <w:tab w:val="left" w:pos="1418"/>
          <w:tab w:val="left" w:pos="2127"/>
          <w:tab w:val="left" w:pos="2836"/>
          <w:tab w:val="left" w:pos="5672"/>
          <w:tab w:val="left" w:pos="6381"/>
          <w:tab w:val="left" w:pos="7090"/>
          <w:tab w:val="left" w:pos="7799"/>
          <w:tab w:val="left" w:pos="8508"/>
          <w:tab w:val="left" w:pos="9217"/>
        </w:tabs>
        <w:ind w:left="5282" w:hanging="2402"/>
      </w:pPr>
      <w:rPr>
        <w:rFonts w:hAnsi="Arial Unicode MS"/>
        <w:caps w:val="0"/>
        <w:smallCaps w:val="0"/>
        <w:strike w:val="0"/>
        <w:dstrike w:val="0"/>
        <w:outline w:val="0"/>
        <w:emboss w:val="0"/>
        <w:imprint w:val="0"/>
        <w:spacing w:val="0"/>
        <w:w w:val="100"/>
        <w:kern w:val="0"/>
        <w:position w:val="0"/>
        <w:vertAlign w:val="baseline"/>
      </w:rPr>
    </w:lvl>
  </w:abstractNum>
  <w:abstractNum w:abstractNumId="12">
    <w:nsid w:val="1E3B6FC0"/>
    <w:multiLevelType w:val="hybridMultilevel"/>
    <w:tmpl w:val="805A630A"/>
    <w:lvl w:ilvl="0" w:tplc="04090015">
      <w:start w:val="1"/>
      <w:numFmt w:val="taiwaneseCountingThousand"/>
      <w:lvlText w:val="%1、"/>
      <w:lvlJc w:val="left"/>
      <w:pPr>
        <w:ind w:left="264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6D457F1"/>
    <w:multiLevelType w:val="hybridMultilevel"/>
    <w:tmpl w:val="8E54C2D4"/>
    <w:lvl w:ilvl="0" w:tplc="C39E1998">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33CA7735"/>
    <w:multiLevelType w:val="multilevel"/>
    <w:tmpl w:val="8A10F690"/>
    <w:numStyleLink w:val="a"/>
  </w:abstractNum>
  <w:abstractNum w:abstractNumId="15">
    <w:nsid w:val="45213753"/>
    <w:multiLevelType w:val="hybridMultilevel"/>
    <w:tmpl w:val="29D42E84"/>
    <w:lvl w:ilvl="0" w:tplc="C068D65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5A2D2D32"/>
    <w:multiLevelType w:val="hybridMultilevel"/>
    <w:tmpl w:val="7534EC9C"/>
    <w:lvl w:ilvl="0" w:tplc="6B04EC36">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5DBF30E9"/>
    <w:multiLevelType w:val="hybridMultilevel"/>
    <w:tmpl w:val="1E8069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5E5F30C7"/>
    <w:multiLevelType w:val="hybridMultilevel"/>
    <w:tmpl w:val="0A98E590"/>
    <w:lvl w:ilvl="0" w:tplc="5F560150">
      <w:start w:val="1"/>
      <w:numFmt w:val="bullet"/>
      <w:lvlText w:val=""/>
      <w:lvlJc w:val="left"/>
      <w:pPr>
        <w:tabs>
          <w:tab w:val="num" w:pos="720"/>
        </w:tabs>
        <w:ind w:left="720" w:hanging="360"/>
      </w:pPr>
      <w:rPr>
        <w:rFonts w:ascii="Wingdings" w:hAnsi="Wingdings" w:cs="Wingdings" w:hint="default"/>
      </w:rPr>
    </w:lvl>
    <w:lvl w:ilvl="1" w:tplc="ABE87760">
      <w:start w:val="1"/>
      <w:numFmt w:val="bullet"/>
      <w:lvlText w:val=""/>
      <w:lvlJc w:val="left"/>
      <w:pPr>
        <w:tabs>
          <w:tab w:val="num" w:pos="1440"/>
        </w:tabs>
        <w:ind w:left="1440" w:hanging="360"/>
      </w:pPr>
      <w:rPr>
        <w:rFonts w:ascii="Wingdings" w:hAnsi="Wingdings" w:cs="Wingdings" w:hint="default"/>
      </w:rPr>
    </w:lvl>
    <w:lvl w:ilvl="2" w:tplc="2970333A">
      <w:start w:val="1"/>
      <w:numFmt w:val="bullet"/>
      <w:lvlText w:val=""/>
      <w:lvlJc w:val="left"/>
      <w:pPr>
        <w:tabs>
          <w:tab w:val="num" w:pos="2160"/>
        </w:tabs>
        <w:ind w:left="2160" w:hanging="360"/>
      </w:pPr>
      <w:rPr>
        <w:rFonts w:ascii="Wingdings" w:hAnsi="Wingdings" w:cs="Wingdings" w:hint="default"/>
      </w:rPr>
    </w:lvl>
    <w:lvl w:ilvl="3" w:tplc="8DDCA894">
      <w:start w:val="1"/>
      <w:numFmt w:val="bullet"/>
      <w:lvlText w:val=""/>
      <w:lvlJc w:val="left"/>
      <w:pPr>
        <w:tabs>
          <w:tab w:val="num" w:pos="2880"/>
        </w:tabs>
        <w:ind w:left="2880" w:hanging="360"/>
      </w:pPr>
      <w:rPr>
        <w:rFonts w:ascii="Wingdings" w:hAnsi="Wingdings" w:cs="Wingdings" w:hint="default"/>
      </w:rPr>
    </w:lvl>
    <w:lvl w:ilvl="4" w:tplc="DF045E3C">
      <w:start w:val="1"/>
      <w:numFmt w:val="bullet"/>
      <w:lvlText w:val=""/>
      <w:lvlJc w:val="left"/>
      <w:pPr>
        <w:tabs>
          <w:tab w:val="num" w:pos="3600"/>
        </w:tabs>
        <w:ind w:left="3600" w:hanging="360"/>
      </w:pPr>
      <w:rPr>
        <w:rFonts w:ascii="Wingdings" w:hAnsi="Wingdings" w:cs="Wingdings" w:hint="default"/>
      </w:rPr>
    </w:lvl>
    <w:lvl w:ilvl="5" w:tplc="9566194C">
      <w:start w:val="1"/>
      <w:numFmt w:val="bullet"/>
      <w:lvlText w:val=""/>
      <w:lvlJc w:val="left"/>
      <w:pPr>
        <w:tabs>
          <w:tab w:val="num" w:pos="4320"/>
        </w:tabs>
        <w:ind w:left="4320" w:hanging="360"/>
      </w:pPr>
      <w:rPr>
        <w:rFonts w:ascii="Wingdings" w:hAnsi="Wingdings" w:cs="Wingdings" w:hint="default"/>
      </w:rPr>
    </w:lvl>
    <w:lvl w:ilvl="6" w:tplc="BE9E3DA0">
      <w:start w:val="1"/>
      <w:numFmt w:val="bullet"/>
      <w:lvlText w:val=""/>
      <w:lvlJc w:val="left"/>
      <w:pPr>
        <w:tabs>
          <w:tab w:val="num" w:pos="5040"/>
        </w:tabs>
        <w:ind w:left="5040" w:hanging="360"/>
      </w:pPr>
      <w:rPr>
        <w:rFonts w:ascii="Wingdings" w:hAnsi="Wingdings" w:cs="Wingdings" w:hint="default"/>
      </w:rPr>
    </w:lvl>
    <w:lvl w:ilvl="7" w:tplc="99F61C9E">
      <w:start w:val="1"/>
      <w:numFmt w:val="bullet"/>
      <w:lvlText w:val=""/>
      <w:lvlJc w:val="left"/>
      <w:pPr>
        <w:tabs>
          <w:tab w:val="num" w:pos="5760"/>
        </w:tabs>
        <w:ind w:left="5760" w:hanging="360"/>
      </w:pPr>
      <w:rPr>
        <w:rFonts w:ascii="Wingdings" w:hAnsi="Wingdings" w:cs="Wingdings" w:hint="default"/>
      </w:rPr>
    </w:lvl>
    <w:lvl w:ilvl="8" w:tplc="2E668EF0">
      <w:start w:val="1"/>
      <w:numFmt w:val="bullet"/>
      <w:lvlText w:val=""/>
      <w:lvlJc w:val="left"/>
      <w:pPr>
        <w:tabs>
          <w:tab w:val="num" w:pos="6480"/>
        </w:tabs>
        <w:ind w:left="6480" w:hanging="360"/>
      </w:pPr>
      <w:rPr>
        <w:rFonts w:ascii="Wingdings" w:hAnsi="Wingdings" w:cs="Wingdings" w:hint="default"/>
      </w:rPr>
    </w:lvl>
  </w:abstractNum>
  <w:abstractNum w:abstractNumId="19">
    <w:nsid w:val="6DA47D10"/>
    <w:multiLevelType w:val="hybridMultilevel"/>
    <w:tmpl w:val="22709370"/>
    <w:lvl w:ilvl="0" w:tplc="A48CFE5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78A92D52"/>
    <w:multiLevelType w:val="hybridMultilevel"/>
    <w:tmpl w:val="A680E5FA"/>
    <w:lvl w:ilvl="0" w:tplc="3FDEA1F8">
      <w:start w:val="1"/>
      <w:numFmt w:val="bullet"/>
      <w:lvlText w:val=""/>
      <w:lvlJc w:val="left"/>
      <w:pPr>
        <w:tabs>
          <w:tab w:val="num" w:pos="720"/>
        </w:tabs>
        <w:ind w:left="720" w:hanging="360"/>
      </w:pPr>
      <w:rPr>
        <w:rFonts w:ascii="Wingdings" w:hAnsi="Wingdings" w:cs="Wingdings" w:hint="default"/>
      </w:rPr>
    </w:lvl>
    <w:lvl w:ilvl="1" w:tplc="2BD86976">
      <w:start w:val="1"/>
      <w:numFmt w:val="bullet"/>
      <w:lvlText w:val=""/>
      <w:lvlJc w:val="left"/>
      <w:pPr>
        <w:tabs>
          <w:tab w:val="num" w:pos="1440"/>
        </w:tabs>
        <w:ind w:left="1440" w:hanging="360"/>
      </w:pPr>
      <w:rPr>
        <w:rFonts w:ascii="Wingdings" w:hAnsi="Wingdings" w:cs="Wingdings" w:hint="default"/>
      </w:rPr>
    </w:lvl>
    <w:lvl w:ilvl="2" w:tplc="3E30159E">
      <w:start w:val="1"/>
      <w:numFmt w:val="bullet"/>
      <w:lvlText w:val=""/>
      <w:lvlJc w:val="left"/>
      <w:pPr>
        <w:tabs>
          <w:tab w:val="num" w:pos="2160"/>
        </w:tabs>
        <w:ind w:left="2160" w:hanging="360"/>
      </w:pPr>
      <w:rPr>
        <w:rFonts w:ascii="Wingdings" w:hAnsi="Wingdings" w:cs="Wingdings" w:hint="default"/>
      </w:rPr>
    </w:lvl>
    <w:lvl w:ilvl="3" w:tplc="C09A88FE">
      <w:start w:val="1"/>
      <w:numFmt w:val="bullet"/>
      <w:lvlText w:val=""/>
      <w:lvlJc w:val="left"/>
      <w:pPr>
        <w:tabs>
          <w:tab w:val="num" w:pos="2880"/>
        </w:tabs>
        <w:ind w:left="2880" w:hanging="360"/>
      </w:pPr>
      <w:rPr>
        <w:rFonts w:ascii="Wingdings" w:hAnsi="Wingdings" w:cs="Wingdings" w:hint="default"/>
      </w:rPr>
    </w:lvl>
    <w:lvl w:ilvl="4" w:tplc="FEEEA184">
      <w:start w:val="1"/>
      <w:numFmt w:val="bullet"/>
      <w:lvlText w:val=""/>
      <w:lvlJc w:val="left"/>
      <w:pPr>
        <w:tabs>
          <w:tab w:val="num" w:pos="3600"/>
        </w:tabs>
        <w:ind w:left="3600" w:hanging="360"/>
      </w:pPr>
      <w:rPr>
        <w:rFonts w:ascii="Wingdings" w:hAnsi="Wingdings" w:cs="Wingdings" w:hint="default"/>
      </w:rPr>
    </w:lvl>
    <w:lvl w:ilvl="5" w:tplc="D9BC8590">
      <w:start w:val="1"/>
      <w:numFmt w:val="bullet"/>
      <w:lvlText w:val=""/>
      <w:lvlJc w:val="left"/>
      <w:pPr>
        <w:tabs>
          <w:tab w:val="num" w:pos="4320"/>
        </w:tabs>
        <w:ind w:left="4320" w:hanging="360"/>
      </w:pPr>
      <w:rPr>
        <w:rFonts w:ascii="Wingdings" w:hAnsi="Wingdings" w:cs="Wingdings" w:hint="default"/>
      </w:rPr>
    </w:lvl>
    <w:lvl w:ilvl="6" w:tplc="7CA099A6">
      <w:start w:val="1"/>
      <w:numFmt w:val="bullet"/>
      <w:lvlText w:val=""/>
      <w:lvlJc w:val="left"/>
      <w:pPr>
        <w:tabs>
          <w:tab w:val="num" w:pos="5040"/>
        </w:tabs>
        <w:ind w:left="5040" w:hanging="360"/>
      </w:pPr>
      <w:rPr>
        <w:rFonts w:ascii="Wingdings" w:hAnsi="Wingdings" w:cs="Wingdings" w:hint="default"/>
      </w:rPr>
    </w:lvl>
    <w:lvl w:ilvl="7" w:tplc="1AC2F67A">
      <w:start w:val="1"/>
      <w:numFmt w:val="bullet"/>
      <w:lvlText w:val=""/>
      <w:lvlJc w:val="left"/>
      <w:pPr>
        <w:tabs>
          <w:tab w:val="num" w:pos="5760"/>
        </w:tabs>
        <w:ind w:left="5760" w:hanging="360"/>
      </w:pPr>
      <w:rPr>
        <w:rFonts w:ascii="Wingdings" w:hAnsi="Wingdings" w:cs="Wingdings" w:hint="default"/>
      </w:rPr>
    </w:lvl>
    <w:lvl w:ilvl="8" w:tplc="6E7E5A44">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5"/>
  </w:num>
  <w:num w:numId="3">
    <w:abstractNumId w:val="19"/>
  </w:num>
  <w:num w:numId="4">
    <w:abstractNumId w:val="17"/>
  </w:num>
  <w:num w:numId="5">
    <w:abstractNumId w:val="18"/>
  </w:num>
  <w:num w:numId="6">
    <w:abstractNumId w:val="20"/>
  </w:num>
  <w:num w:numId="7">
    <w:abstractNumId w:val="12"/>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6E5"/>
    <w:rsid w:val="00000D33"/>
    <w:rsid w:val="00001C2B"/>
    <w:rsid w:val="00002F5A"/>
    <w:rsid w:val="000040E0"/>
    <w:rsid w:val="00004EA5"/>
    <w:rsid w:val="00007EFB"/>
    <w:rsid w:val="00010C72"/>
    <w:rsid w:val="00014A44"/>
    <w:rsid w:val="000373FD"/>
    <w:rsid w:val="00040760"/>
    <w:rsid w:val="000409F6"/>
    <w:rsid w:val="00041DB3"/>
    <w:rsid w:val="000434B5"/>
    <w:rsid w:val="0004635A"/>
    <w:rsid w:val="00046FB4"/>
    <w:rsid w:val="00052845"/>
    <w:rsid w:val="00052D34"/>
    <w:rsid w:val="000553BF"/>
    <w:rsid w:val="00057D63"/>
    <w:rsid w:val="00065B50"/>
    <w:rsid w:val="00065DDE"/>
    <w:rsid w:val="00066CF2"/>
    <w:rsid w:val="00072EA7"/>
    <w:rsid w:val="000879F5"/>
    <w:rsid w:val="00095CC4"/>
    <w:rsid w:val="000976DC"/>
    <w:rsid w:val="000A1E41"/>
    <w:rsid w:val="000A20CC"/>
    <w:rsid w:val="000A2CF0"/>
    <w:rsid w:val="000A32AF"/>
    <w:rsid w:val="000A3D3D"/>
    <w:rsid w:val="000A5EE7"/>
    <w:rsid w:val="000A6E4B"/>
    <w:rsid w:val="000B1163"/>
    <w:rsid w:val="000B2EE7"/>
    <w:rsid w:val="000B560C"/>
    <w:rsid w:val="000B60DA"/>
    <w:rsid w:val="000C32E4"/>
    <w:rsid w:val="000C37C5"/>
    <w:rsid w:val="000C524F"/>
    <w:rsid w:val="000C777E"/>
    <w:rsid w:val="000D1BD7"/>
    <w:rsid w:val="000D2A23"/>
    <w:rsid w:val="000D5AD0"/>
    <w:rsid w:val="000D604E"/>
    <w:rsid w:val="000E0797"/>
    <w:rsid w:val="000F0342"/>
    <w:rsid w:val="000F7049"/>
    <w:rsid w:val="000F7655"/>
    <w:rsid w:val="000F7A94"/>
    <w:rsid w:val="0010497B"/>
    <w:rsid w:val="00117E40"/>
    <w:rsid w:val="0012240D"/>
    <w:rsid w:val="00126023"/>
    <w:rsid w:val="00126ECB"/>
    <w:rsid w:val="00127FD5"/>
    <w:rsid w:val="00130100"/>
    <w:rsid w:val="0013333D"/>
    <w:rsid w:val="00136802"/>
    <w:rsid w:val="001464B8"/>
    <w:rsid w:val="00152EA3"/>
    <w:rsid w:val="00156583"/>
    <w:rsid w:val="001629A7"/>
    <w:rsid w:val="001645FA"/>
    <w:rsid w:val="00165C43"/>
    <w:rsid w:val="00165CDB"/>
    <w:rsid w:val="001709BE"/>
    <w:rsid w:val="0017194A"/>
    <w:rsid w:val="00172207"/>
    <w:rsid w:val="00172C07"/>
    <w:rsid w:val="00173478"/>
    <w:rsid w:val="00176669"/>
    <w:rsid w:val="00182648"/>
    <w:rsid w:val="0018421D"/>
    <w:rsid w:val="00184D41"/>
    <w:rsid w:val="00184E16"/>
    <w:rsid w:val="0018737E"/>
    <w:rsid w:val="001A0DBC"/>
    <w:rsid w:val="001A1217"/>
    <w:rsid w:val="001A7ECD"/>
    <w:rsid w:val="001B24B1"/>
    <w:rsid w:val="001B67F9"/>
    <w:rsid w:val="001C3937"/>
    <w:rsid w:val="001C414C"/>
    <w:rsid w:val="001C48F6"/>
    <w:rsid w:val="001C7BE6"/>
    <w:rsid w:val="001D0252"/>
    <w:rsid w:val="001D290E"/>
    <w:rsid w:val="001E2C1C"/>
    <w:rsid w:val="001E57EA"/>
    <w:rsid w:val="001E7C89"/>
    <w:rsid w:val="001F6348"/>
    <w:rsid w:val="001F7158"/>
    <w:rsid w:val="00202533"/>
    <w:rsid w:val="00203395"/>
    <w:rsid w:val="00206306"/>
    <w:rsid w:val="00206AD3"/>
    <w:rsid w:val="00212A8C"/>
    <w:rsid w:val="002157AB"/>
    <w:rsid w:val="00224509"/>
    <w:rsid w:val="00231AF4"/>
    <w:rsid w:val="00242668"/>
    <w:rsid w:val="0024565B"/>
    <w:rsid w:val="00260659"/>
    <w:rsid w:val="0026066D"/>
    <w:rsid w:val="00260DF4"/>
    <w:rsid w:val="002621EA"/>
    <w:rsid w:val="002654DE"/>
    <w:rsid w:val="0026591F"/>
    <w:rsid w:val="00267FF0"/>
    <w:rsid w:val="002713A5"/>
    <w:rsid w:val="002825AA"/>
    <w:rsid w:val="00283290"/>
    <w:rsid w:val="00286C08"/>
    <w:rsid w:val="002A06B7"/>
    <w:rsid w:val="002B0D8B"/>
    <w:rsid w:val="002B2AA1"/>
    <w:rsid w:val="002B41B9"/>
    <w:rsid w:val="002B667F"/>
    <w:rsid w:val="002C04F5"/>
    <w:rsid w:val="002C0BD5"/>
    <w:rsid w:val="002C2AFD"/>
    <w:rsid w:val="002C36D2"/>
    <w:rsid w:val="002C4771"/>
    <w:rsid w:val="002C707F"/>
    <w:rsid w:val="002D35A0"/>
    <w:rsid w:val="002D41C5"/>
    <w:rsid w:val="002E0D63"/>
    <w:rsid w:val="002E13B8"/>
    <w:rsid w:val="002E5A8E"/>
    <w:rsid w:val="002E758A"/>
    <w:rsid w:val="002F14A7"/>
    <w:rsid w:val="002F2D27"/>
    <w:rsid w:val="002F2E8B"/>
    <w:rsid w:val="002F3EB2"/>
    <w:rsid w:val="002F43CB"/>
    <w:rsid w:val="00300C6C"/>
    <w:rsid w:val="00303C91"/>
    <w:rsid w:val="00304FBE"/>
    <w:rsid w:val="00313524"/>
    <w:rsid w:val="003140E8"/>
    <w:rsid w:val="00316EA9"/>
    <w:rsid w:val="003249C1"/>
    <w:rsid w:val="003270CA"/>
    <w:rsid w:val="00331C73"/>
    <w:rsid w:val="003352D9"/>
    <w:rsid w:val="0034158B"/>
    <w:rsid w:val="00343E99"/>
    <w:rsid w:val="003440BE"/>
    <w:rsid w:val="00344DDE"/>
    <w:rsid w:val="00346090"/>
    <w:rsid w:val="00355F47"/>
    <w:rsid w:val="00356FEB"/>
    <w:rsid w:val="00365276"/>
    <w:rsid w:val="0036731F"/>
    <w:rsid w:val="003713D4"/>
    <w:rsid w:val="00371537"/>
    <w:rsid w:val="003825A0"/>
    <w:rsid w:val="00384554"/>
    <w:rsid w:val="003864BE"/>
    <w:rsid w:val="003A058B"/>
    <w:rsid w:val="003A1C1A"/>
    <w:rsid w:val="003A1C91"/>
    <w:rsid w:val="003A3EA5"/>
    <w:rsid w:val="003A43CB"/>
    <w:rsid w:val="003A579B"/>
    <w:rsid w:val="003B31AD"/>
    <w:rsid w:val="003C3318"/>
    <w:rsid w:val="003E4385"/>
    <w:rsid w:val="003F0BBA"/>
    <w:rsid w:val="003F5149"/>
    <w:rsid w:val="003F6FE9"/>
    <w:rsid w:val="00403677"/>
    <w:rsid w:val="00412D04"/>
    <w:rsid w:val="0041334E"/>
    <w:rsid w:val="00413FCD"/>
    <w:rsid w:val="0042281D"/>
    <w:rsid w:val="00423FEA"/>
    <w:rsid w:val="00424FBE"/>
    <w:rsid w:val="0043418D"/>
    <w:rsid w:val="004369CC"/>
    <w:rsid w:val="00440286"/>
    <w:rsid w:val="00444D55"/>
    <w:rsid w:val="00450E0A"/>
    <w:rsid w:val="004536F9"/>
    <w:rsid w:val="00453B1E"/>
    <w:rsid w:val="004543F6"/>
    <w:rsid w:val="00455116"/>
    <w:rsid w:val="00456414"/>
    <w:rsid w:val="0045698C"/>
    <w:rsid w:val="004575E1"/>
    <w:rsid w:val="004736B6"/>
    <w:rsid w:val="004765A9"/>
    <w:rsid w:val="004801FC"/>
    <w:rsid w:val="00480444"/>
    <w:rsid w:val="0049300F"/>
    <w:rsid w:val="004957C9"/>
    <w:rsid w:val="004A56BE"/>
    <w:rsid w:val="004B2FAE"/>
    <w:rsid w:val="004C10E6"/>
    <w:rsid w:val="004C2A52"/>
    <w:rsid w:val="004C4EEF"/>
    <w:rsid w:val="004C4FB6"/>
    <w:rsid w:val="004C64D1"/>
    <w:rsid w:val="004D0F8F"/>
    <w:rsid w:val="004E701F"/>
    <w:rsid w:val="004F280E"/>
    <w:rsid w:val="004F2973"/>
    <w:rsid w:val="004F3D6C"/>
    <w:rsid w:val="004F457B"/>
    <w:rsid w:val="005002BF"/>
    <w:rsid w:val="00511526"/>
    <w:rsid w:val="00512396"/>
    <w:rsid w:val="00514DE1"/>
    <w:rsid w:val="00517C19"/>
    <w:rsid w:val="00517DD6"/>
    <w:rsid w:val="00520D37"/>
    <w:rsid w:val="0053052F"/>
    <w:rsid w:val="00530CAA"/>
    <w:rsid w:val="00530CBE"/>
    <w:rsid w:val="0053128B"/>
    <w:rsid w:val="00532E7B"/>
    <w:rsid w:val="005331BA"/>
    <w:rsid w:val="0053718D"/>
    <w:rsid w:val="00537427"/>
    <w:rsid w:val="00545848"/>
    <w:rsid w:val="0055421B"/>
    <w:rsid w:val="00560F11"/>
    <w:rsid w:val="00562A1D"/>
    <w:rsid w:val="00562F1A"/>
    <w:rsid w:val="00563DC8"/>
    <w:rsid w:val="00567924"/>
    <w:rsid w:val="005703AE"/>
    <w:rsid w:val="005742A7"/>
    <w:rsid w:val="0057446A"/>
    <w:rsid w:val="005822A0"/>
    <w:rsid w:val="0058293E"/>
    <w:rsid w:val="00584C68"/>
    <w:rsid w:val="00593DCF"/>
    <w:rsid w:val="00595A12"/>
    <w:rsid w:val="00595AE8"/>
    <w:rsid w:val="00597BAE"/>
    <w:rsid w:val="005A34F9"/>
    <w:rsid w:val="005A580D"/>
    <w:rsid w:val="005B3097"/>
    <w:rsid w:val="005B4C57"/>
    <w:rsid w:val="005B5123"/>
    <w:rsid w:val="005B7F88"/>
    <w:rsid w:val="005C0FA1"/>
    <w:rsid w:val="005D149B"/>
    <w:rsid w:val="005D4640"/>
    <w:rsid w:val="005D6B45"/>
    <w:rsid w:val="005E1988"/>
    <w:rsid w:val="005E2C81"/>
    <w:rsid w:val="005E4B8F"/>
    <w:rsid w:val="005E5D6F"/>
    <w:rsid w:val="005E7EB4"/>
    <w:rsid w:val="005F2316"/>
    <w:rsid w:val="005F5951"/>
    <w:rsid w:val="005F5C66"/>
    <w:rsid w:val="00602F3A"/>
    <w:rsid w:val="0060330B"/>
    <w:rsid w:val="00607471"/>
    <w:rsid w:val="00610005"/>
    <w:rsid w:val="006111CD"/>
    <w:rsid w:val="0061335C"/>
    <w:rsid w:val="00614410"/>
    <w:rsid w:val="00616B1F"/>
    <w:rsid w:val="00617271"/>
    <w:rsid w:val="00617E17"/>
    <w:rsid w:val="0062257B"/>
    <w:rsid w:val="00625B17"/>
    <w:rsid w:val="00625CBA"/>
    <w:rsid w:val="0062674F"/>
    <w:rsid w:val="00632A16"/>
    <w:rsid w:val="006352AC"/>
    <w:rsid w:val="006355F7"/>
    <w:rsid w:val="00642E6F"/>
    <w:rsid w:val="00644F9A"/>
    <w:rsid w:val="0064684D"/>
    <w:rsid w:val="006517E6"/>
    <w:rsid w:val="00654570"/>
    <w:rsid w:val="006545AF"/>
    <w:rsid w:val="00661345"/>
    <w:rsid w:val="00664576"/>
    <w:rsid w:val="006776E3"/>
    <w:rsid w:val="0068031D"/>
    <w:rsid w:val="00685698"/>
    <w:rsid w:val="00685F01"/>
    <w:rsid w:val="00694322"/>
    <w:rsid w:val="00696A02"/>
    <w:rsid w:val="006A15FB"/>
    <w:rsid w:val="006A182F"/>
    <w:rsid w:val="006A3F64"/>
    <w:rsid w:val="006B04E2"/>
    <w:rsid w:val="006B3A6E"/>
    <w:rsid w:val="006B3D63"/>
    <w:rsid w:val="006B4A58"/>
    <w:rsid w:val="006B6F59"/>
    <w:rsid w:val="006B7C64"/>
    <w:rsid w:val="006C2D46"/>
    <w:rsid w:val="006C42B3"/>
    <w:rsid w:val="006C5BB0"/>
    <w:rsid w:val="006D1E8B"/>
    <w:rsid w:val="006D6D96"/>
    <w:rsid w:val="006D7A0E"/>
    <w:rsid w:val="006E3D48"/>
    <w:rsid w:val="006E4F03"/>
    <w:rsid w:val="006E5745"/>
    <w:rsid w:val="006E75C7"/>
    <w:rsid w:val="006E7D79"/>
    <w:rsid w:val="006F28BD"/>
    <w:rsid w:val="006F2B97"/>
    <w:rsid w:val="006F5240"/>
    <w:rsid w:val="006F5F8F"/>
    <w:rsid w:val="00700621"/>
    <w:rsid w:val="00702966"/>
    <w:rsid w:val="00706DA4"/>
    <w:rsid w:val="00711D1F"/>
    <w:rsid w:val="00715ABC"/>
    <w:rsid w:val="007173E5"/>
    <w:rsid w:val="00720315"/>
    <w:rsid w:val="007325E3"/>
    <w:rsid w:val="00732914"/>
    <w:rsid w:val="007353BD"/>
    <w:rsid w:val="00737B68"/>
    <w:rsid w:val="00740D40"/>
    <w:rsid w:val="007451AB"/>
    <w:rsid w:val="00750F96"/>
    <w:rsid w:val="00752A0A"/>
    <w:rsid w:val="00752F22"/>
    <w:rsid w:val="00754127"/>
    <w:rsid w:val="00756402"/>
    <w:rsid w:val="00761ABD"/>
    <w:rsid w:val="00761FE9"/>
    <w:rsid w:val="00762AC1"/>
    <w:rsid w:val="007649C3"/>
    <w:rsid w:val="00765EA1"/>
    <w:rsid w:val="00766FB4"/>
    <w:rsid w:val="00767F20"/>
    <w:rsid w:val="00770BD8"/>
    <w:rsid w:val="00775957"/>
    <w:rsid w:val="007768E3"/>
    <w:rsid w:val="00777633"/>
    <w:rsid w:val="007817A1"/>
    <w:rsid w:val="00785740"/>
    <w:rsid w:val="00791D84"/>
    <w:rsid w:val="00793A44"/>
    <w:rsid w:val="00796929"/>
    <w:rsid w:val="00797F97"/>
    <w:rsid w:val="007A01D3"/>
    <w:rsid w:val="007A065F"/>
    <w:rsid w:val="007A14FA"/>
    <w:rsid w:val="007A30E1"/>
    <w:rsid w:val="007A5DEF"/>
    <w:rsid w:val="007A6FB4"/>
    <w:rsid w:val="007B005C"/>
    <w:rsid w:val="007B2E00"/>
    <w:rsid w:val="007B3AC9"/>
    <w:rsid w:val="007B428D"/>
    <w:rsid w:val="007C0E11"/>
    <w:rsid w:val="007C14F8"/>
    <w:rsid w:val="007C213A"/>
    <w:rsid w:val="007C3632"/>
    <w:rsid w:val="007D03B3"/>
    <w:rsid w:val="007D0CA8"/>
    <w:rsid w:val="007D2DF4"/>
    <w:rsid w:val="007D5383"/>
    <w:rsid w:val="007D6C36"/>
    <w:rsid w:val="007D70EF"/>
    <w:rsid w:val="007E2443"/>
    <w:rsid w:val="007E694E"/>
    <w:rsid w:val="007F5B21"/>
    <w:rsid w:val="007F6835"/>
    <w:rsid w:val="007F7452"/>
    <w:rsid w:val="0081003C"/>
    <w:rsid w:val="00811579"/>
    <w:rsid w:val="00811BE4"/>
    <w:rsid w:val="0081376D"/>
    <w:rsid w:val="00813A75"/>
    <w:rsid w:val="00814D3A"/>
    <w:rsid w:val="00814F34"/>
    <w:rsid w:val="0081705B"/>
    <w:rsid w:val="008210C9"/>
    <w:rsid w:val="0082220F"/>
    <w:rsid w:val="00831EA8"/>
    <w:rsid w:val="008361BC"/>
    <w:rsid w:val="00840032"/>
    <w:rsid w:val="008417CF"/>
    <w:rsid w:val="0084454E"/>
    <w:rsid w:val="00846A64"/>
    <w:rsid w:val="0084720F"/>
    <w:rsid w:val="0084723D"/>
    <w:rsid w:val="00851ECC"/>
    <w:rsid w:val="00852E54"/>
    <w:rsid w:val="008557B4"/>
    <w:rsid w:val="0085682A"/>
    <w:rsid w:val="00856AD0"/>
    <w:rsid w:val="00856D2B"/>
    <w:rsid w:val="0086039B"/>
    <w:rsid w:val="0087642B"/>
    <w:rsid w:val="00876B46"/>
    <w:rsid w:val="00877A48"/>
    <w:rsid w:val="0089112A"/>
    <w:rsid w:val="00891BBA"/>
    <w:rsid w:val="00892C14"/>
    <w:rsid w:val="00895C1E"/>
    <w:rsid w:val="008970C8"/>
    <w:rsid w:val="008A05D9"/>
    <w:rsid w:val="008A09D4"/>
    <w:rsid w:val="008A1133"/>
    <w:rsid w:val="008A49E7"/>
    <w:rsid w:val="008A52B1"/>
    <w:rsid w:val="008A5AB0"/>
    <w:rsid w:val="008A63E8"/>
    <w:rsid w:val="008B765A"/>
    <w:rsid w:val="008C02EA"/>
    <w:rsid w:val="008C1223"/>
    <w:rsid w:val="008C471B"/>
    <w:rsid w:val="008C4C21"/>
    <w:rsid w:val="008D1569"/>
    <w:rsid w:val="008D189A"/>
    <w:rsid w:val="008D256E"/>
    <w:rsid w:val="008D2A51"/>
    <w:rsid w:val="008D6E3B"/>
    <w:rsid w:val="008D7D27"/>
    <w:rsid w:val="008E0081"/>
    <w:rsid w:val="008E474F"/>
    <w:rsid w:val="008E70DB"/>
    <w:rsid w:val="008F1CF6"/>
    <w:rsid w:val="008F2720"/>
    <w:rsid w:val="008F3591"/>
    <w:rsid w:val="008F7101"/>
    <w:rsid w:val="008F736D"/>
    <w:rsid w:val="008F7647"/>
    <w:rsid w:val="00901C6D"/>
    <w:rsid w:val="00904842"/>
    <w:rsid w:val="00905A45"/>
    <w:rsid w:val="00907476"/>
    <w:rsid w:val="0091642C"/>
    <w:rsid w:val="00921EB6"/>
    <w:rsid w:val="00930B54"/>
    <w:rsid w:val="009324A5"/>
    <w:rsid w:val="00932584"/>
    <w:rsid w:val="00935D7E"/>
    <w:rsid w:val="00937070"/>
    <w:rsid w:val="0094079A"/>
    <w:rsid w:val="00940A09"/>
    <w:rsid w:val="0094291C"/>
    <w:rsid w:val="00946772"/>
    <w:rsid w:val="00950062"/>
    <w:rsid w:val="00951CE5"/>
    <w:rsid w:val="0095364A"/>
    <w:rsid w:val="0095585F"/>
    <w:rsid w:val="0096528B"/>
    <w:rsid w:val="00973F8B"/>
    <w:rsid w:val="009771F1"/>
    <w:rsid w:val="00980B62"/>
    <w:rsid w:val="00980C09"/>
    <w:rsid w:val="00982979"/>
    <w:rsid w:val="009900C6"/>
    <w:rsid w:val="00990210"/>
    <w:rsid w:val="00993E9B"/>
    <w:rsid w:val="009940F6"/>
    <w:rsid w:val="00996C57"/>
    <w:rsid w:val="009A1280"/>
    <w:rsid w:val="009A31EB"/>
    <w:rsid w:val="009B081B"/>
    <w:rsid w:val="009B0E65"/>
    <w:rsid w:val="009B140B"/>
    <w:rsid w:val="009B5E96"/>
    <w:rsid w:val="009B6DC7"/>
    <w:rsid w:val="009C0E45"/>
    <w:rsid w:val="009C27C5"/>
    <w:rsid w:val="009C3E6B"/>
    <w:rsid w:val="009C4696"/>
    <w:rsid w:val="009C5A5D"/>
    <w:rsid w:val="009C6322"/>
    <w:rsid w:val="009D0A03"/>
    <w:rsid w:val="009D4948"/>
    <w:rsid w:val="009D4B7D"/>
    <w:rsid w:val="009E03C4"/>
    <w:rsid w:val="009E3E20"/>
    <w:rsid w:val="009F0817"/>
    <w:rsid w:val="009F1249"/>
    <w:rsid w:val="009F2873"/>
    <w:rsid w:val="009F440F"/>
    <w:rsid w:val="00A02240"/>
    <w:rsid w:val="00A11B17"/>
    <w:rsid w:val="00A135B4"/>
    <w:rsid w:val="00A1427A"/>
    <w:rsid w:val="00A20001"/>
    <w:rsid w:val="00A266E5"/>
    <w:rsid w:val="00A30385"/>
    <w:rsid w:val="00A34E10"/>
    <w:rsid w:val="00A408BD"/>
    <w:rsid w:val="00A43AF3"/>
    <w:rsid w:val="00A43B7C"/>
    <w:rsid w:val="00A45945"/>
    <w:rsid w:val="00A51181"/>
    <w:rsid w:val="00A5413A"/>
    <w:rsid w:val="00A54BAF"/>
    <w:rsid w:val="00A60BE9"/>
    <w:rsid w:val="00A61304"/>
    <w:rsid w:val="00A623B1"/>
    <w:rsid w:val="00A6469F"/>
    <w:rsid w:val="00A65812"/>
    <w:rsid w:val="00A66851"/>
    <w:rsid w:val="00A6698E"/>
    <w:rsid w:val="00A70FB7"/>
    <w:rsid w:val="00A74005"/>
    <w:rsid w:val="00A77322"/>
    <w:rsid w:val="00A8050A"/>
    <w:rsid w:val="00A81DB2"/>
    <w:rsid w:val="00A838C2"/>
    <w:rsid w:val="00A84193"/>
    <w:rsid w:val="00A857CA"/>
    <w:rsid w:val="00A95409"/>
    <w:rsid w:val="00A95E66"/>
    <w:rsid w:val="00A96850"/>
    <w:rsid w:val="00A97013"/>
    <w:rsid w:val="00AA2A2A"/>
    <w:rsid w:val="00AA46F5"/>
    <w:rsid w:val="00AA7B25"/>
    <w:rsid w:val="00AB07AA"/>
    <w:rsid w:val="00AB297D"/>
    <w:rsid w:val="00AB2B49"/>
    <w:rsid w:val="00AB3EC9"/>
    <w:rsid w:val="00AB45AD"/>
    <w:rsid w:val="00AB7DED"/>
    <w:rsid w:val="00AC042C"/>
    <w:rsid w:val="00AC1646"/>
    <w:rsid w:val="00AC2824"/>
    <w:rsid w:val="00AC3335"/>
    <w:rsid w:val="00AC62F8"/>
    <w:rsid w:val="00AC7E6E"/>
    <w:rsid w:val="00AD203B"/>
    <w:rsid w:val="00AE0C9A"/>
    <w:rsid w:val="00AE123F"/>
    <w:rsid w:val="00AE5254"/>
    <w:rsid w:val="00AE6DD9"/>
    <w:rsid w:val="00AF1784"/>
    <w:rsid w:val="00AF61FD"/>
    <w:rsid w:val="00B02C1F"/>
    <w:rsid w:val="00B04E31"/>
    <w:rsid w:val="00B05AF8"/>
    <w:rsid w:val="00B0656A"/>
    <w:rsid w:val="00B073AC"/>
    <w:rsid w:val="00B175AF"/>
    <w:rsid w:val="00B20A4F"/>
    <w:rsid w:val="00B2222C"/>
    <w:rsid w:val="00B22F73"/>
    <w:rsid w:val="00B2451F"/>
    <w:rsid w:val="00B2504C"/>
    <w:rsid w:val="00B26B15"/>
    <w:rsid w:val="00B2773B"/>
    <w:rsid w:val="00B2791A"/>
    <w:rsid w:val="00B34419"/>
    <w:rsid w:val="00B403CA"/>
    <w:rsid w:val="00B4251D"/>
    <w:rsid w:val="00B426C8"/>
    <w:rsid w:val="00B43188"/>
    <w:rsid w:val="00B461EF"/>
    <w:rsid w:val="00B478BA"/>
    <w:rsid w:val="00B501A3"/>
    <w:rsid w:val="00B51F55"/>
    <w:rsid w:val="00B52101"/>
    <w:rsid w:val="00B57BE0"/>
    <w:rsid w:val="00B61BA4"/>
    <w:rsid w:val="00B63A77"/>
    <w:rsid w:val="00B660E6"/>
    <w:rsid w:val="00B70E6A"/>
    <w:rsid w:val="00B714E6"/>
    <w:rsid w:val="00B73EE4"/>
    <w:rsid w:val="00B754D0"/>
    <w:rsid w:val="00B75948"/>
    <w:rsid w:val="00B760E7"/>
    <w:rsid w:val="00B76C2F"/>
    <w:rsid w:val="00B807CD"/>
    <w:rsid w:val="00B83451"/>
    <w:rsid w:val="00B849E9"/>
    <w:rsid w:val="00B84E63"/>
    <w:rsid w:val="00BA06FF"/>
    <w:rsid w:val="00BA0D61"/>
    <w:rsid w:val="00BC531A"/>
    <w:rsid w:val="00BC6D10"/>
    <w:rsid w:val="00BC77A3"/>
    <w:rsid w:val="00BD12C2"/>
    <w:rsid w:val="00BD1D46"/>
    <w:rsid w:val="00BD2A54"/>
    <w:rsid w:val="00BD3F18"/>
    <w:rsid w:val="00BD40DB"/>
    <w:rsid w:val="00BD51F2"/>
    <w:rsid w:val="00BD51F5"/>
    <w:rsid w:val="00BD6933"/>
    <w:rsid w:val="00BD7D9F"/>
    <w:rsid w:val="00BE3C37"/>
    <w:rsid w:val="00BE4B81"/>
    <w:rsid w:val="00BE5710"/>
    <w:rsid w:val="00BE7FDF"/>
    <w:rsid w:val="00BF1DD7"/>
    <w:rsid w:val="00C0326B"/>
    <w:rsid w:val="00C04512"/>
    <w:rsid w:val="00C07D30"/>
    <w:rsid w:val="00C13DC8"/>
    <w:rsid w:val="00C22FE5"/>
    <w:rsid w:val="00C2641C"/>
    <w:rsid w:val="00C329F9"/>
    <w:rsid w:val="00C37E98"/>
    <w:rsid w:val="00C422E6"/>
    <w:rsid w:val="00C42AA3"/>
    <w:rsid w:val="00C45F99"/>
    <w:rsid w:val="00C4765C"/>
    <w:rsid w:val="00C60136"/>
    <w:rsid w:val="00C60E26"/>
    <w:rsid w:val="00C67A43"/>
    <w:rsid w:val="00C70D58"/>
    <w:rsid w:val="00C74018"/>
    <w:rsid w:val="00C74FDF"/>
    <w:rsid w:val="00C84D81"/>
    <w:rsid w:val="00C941CA"/>
    <w:rsid w:val="00C94253"/>
    <w:rsid w:val="00CA085C"/>
    <w:rsid w:val="00CA4477"/>
    <w:rsid w:val="00CA48EC"/>
    <w:rsid w:val="00CA5320"/>
    <w:rsid w:val="00CA5DE6"/>
    <w:rsid w:val="00CB0785"/>
    <w:rsid w:val="00CB20C6"/>
    <w:rsid w:val="00CB25B6"/>
    <w:rsid w:val="00CB46F4"/>
    <w:rsid w:val="00CB4ECB"/>
    <w:rsid w:val="00CB54B1"/>
    <w:rsid w:val="00CB70CF"/>
    <w:rsid w:val="00CC4D4B"/>
    <w:rsid w:val="00CD2D84"/>
    <w:rsid w:val="00CD2E5D"/>
    <w:rsid w:val="00CD31B8"/>
    <w:rsid w:val="00CD42EE"/>
    <w:rsid w:val="00CD4B3A"/>
    <w:rsid w:val="00CD7D55"/>
    <w:rsid w:val="00CE622D"/>
    <w:rsid w:val="00CE73DE"/>
    <w:rsid w:val="00CF2A8A"/>
    <w:rsid w:val="00CF34B1"/>
    <w:rsid w:val="00D02D08"/>
    <w:rsid w:val="00D060A7"/>
    <w:rsid w:val="00D075E5"/>
    <w:rsid w:val="00D07C5F"/>
    <w:rsid w:val="00D11E74"/>
    <w:rsid w:val="00D15040"/>
    <w:rsid w:val="00D16D82"/>
    <w:rsid w:val="00D17444"/>
    <w:rsid w:val="00D20EB3"/>
    <w:rsid w:val="00D21056"/>
    <w:rsid w:val="00D23A2E"/>
    <w:rsid w:val="00D25476"/>
    <w:rsid w:val="00D27266"/>
    <w:rsid w:val="00D31457"/>
    <w:rsid w:val="00D31D85"/>
    <w:rsid w:val="00D33B93"/>
    <w:rsid w:val="00D371E2"/>
    <w:rsid w:val="00D41183"/>
    <w:rsid w:val="00D431D2"/>
    <w:rsid w:val="00D4406A"/>
    <w:rsid w:val="00D44362"/>
    <w:rsid w:val="00D452F8"/>
    <w:rsid w:val="00D552ED"/>
    <w:rsid w:val="00D611CC"/>
    <w:rsid w:val="00D634A6"/>
    <w:rsid w:val="00D66988"/>
    <w:rsid w:val="00D67692"/>
    <w:rsid w:val="00D743D7"/>
    <w:rsid w:val="00D748DE"/>
    <w:rsid w:val="00D75497"/>
    <w:rsid w:val="00D812F0"/>
    <w:rsid w:val="00D82724"/>
    <w:rsid w:val="00D843DD"/>
    <w:rsid w:val="00D876F3"/>
    <w:rsid w:val="00D877C4"/>
    <w:rsid w:val="00D879A9"/>
    <w:rsid w:val="00D963A2"/>
    <w:rsid w:val="00D96422"/>
    <w:rsid w:val="00DA2D6F"/>
    <w:rsid w:val="00DA3C5B"/>
    <w:rsid w:val="00DA4B7E"/>
    <w:rsid w:val="00DB5DF4"/>
    <w:rsid w:val="00DB6E2A"/>
    <w:rsid w:val="00DC0610"/>
    <w:rsid w:val="00DC26BA"/>
    <w:rsid w:val="00DC37D7"/>
    <w:rsid w:val="00DC5B22"/>
    <w:rsid w:val="00DC71D7"/>
    <w:rsid w:val="00DD0EEB"/>
    <w:rsid w:val="00DD1107"/>
    <w:rsid w:val="00DD1B1F"/>
    <w:rsid w:val="00DD3851"/>
    <w:rsid w:val="00DD3E11"/>
    <w:rsid w:val="00DD5508"/>
    <w:rsid w:val="00DE1437"/>
    <w:rsid w:val="00DE3417"/>
    <w:rsid w:val="00DE3D92"/>
    <w:rsid w:val="00DE5698"/>
    <w:rsid w:val="00DF310E"/>
    <w:rsid w:val="00E00296"/>
    <w:rsid w:val="00E00A16"/>
    <w:rsid w:val="00E01B3F"/>
    <w:rsid w:val="00E0247A"/>
    <w:rsid w:val="00E04FE7"/>
    <w:rsid w:val="00E10F2E"/>
    <w:rsid w:val="00E140BC"/>
    <w:rsid w:val="00E147EF"/>
    <w:rsid w:val="00E2243F"/>
    <w:rsid w:val="00E228B3"/>
    <w:rsid w:val="00E233EE"/>
    <w:rsid w:val="00E26E35"/>
    <w:rsid w:val="00E27516"/>
    <w:rsid w:val="00E31C04"/>
    <w:rsid w:val="00E33C0D"/>
    <w:rsid w:val="00E41215"/>
    <w:rsid w:val="00E42A4B"/>
    <w:rsid w:val="00E44EBB"/>
    <w:rsid w:val="00E460AB"/>
    <w:rsid w:val="00E47CAE"/>
    <w:rsid w:val="00E53EEF"/>
    <w:rsid w:val="00E578B5"/>
    <w:rsid w:val="00E60B70"/>
    <w:rsid w:val="00E626AE"/>
    <w:rsid w:val="00E63961"/>
    <w:rsid w:val="00E67201"/>
    <w:rsid w:val="00E67512"/>
    <w:rsid w:val="00E7190A"/>
    <w:rsid w:val="00E728B6"/>
    <w:rsid w:val="00E7334D"/>
    <w:rsid w:val="00E73A07"/>
    <w:rsid w:val="00E826A5"/>
    <w:rsid w:val="00E82CBC"/>
    <w:rsid w:val="00E83154"/>
    <w:rsid w:val="00E84F0E"/>
    <w:rsid w:val="00E85625"/>
    <w:rsid w:val="00E85636"/>
    <w:rsid w:val="00E861E9"/>
    <w:rsid w:val="00E865CE"/>
    <w:rsid w:val="00E878EE"/>
    <w:rsid w:val="00E931DE"/>
    <w:rsid w:val="00EA60F1"/>
    <w:rsid w:val="00EB027C"/>
    <w:rsid w:val="00EB4BE5"/>
    <w:rsid w:val="00EB531D"/>
    <w:rsid w:val="00EB5584"/>
    <w:rsid w:val="00EC313B"/>
    <w:rsid w:val="00EC3E56"/>
    <w:rsid w:val="00EC632C"/>
    <w:rsid w:val="00ED16EC"/>
    <w:rsid w:val="00ED18A8"/>
    <w:rsid w:val="00ED1FBC"/>
    <w:rsid w:val="00ED38B0"/>
    <w:rsid w:val="00ED5A18"/>
    <w:rsid w:val="00ED78EA"/>
    <w:rsid w:val="00EE06EB"/>
    <w:rsid w:val="00EE0DDB"/>
    <w:rsid w:val="00EE4AA7"/>
    <w:rsid w:val="00EE5711"/>
    <w:rsid w:val="00EE5C7F"/>
    <w:rsid w:val="00EF0E69"/>
    <w:rsid w:val="00EF3F81"/>
    <w:rsid w:val="00EF5A43"/>
    <w:rsid w:val="00EF6EF8"/>
    <w:rsid w:val="00EF7457"/>
    <w:rsid w:val="00F00968"/>
    <w:rsid w:val="00F020E7"/>
    <w:rsid w:val="00F04F72"/>
    <w:rsid w:val="00F060BA"/>
    <w:rsid w:val="00F07AB7"/>
    <w:rsid w:val="00F10E04"/>
    <w:rsid w:val="00F20673"/>
    <w:rsid w:val="00F215A5"/>
    <w:rsid w:val="00F23C7A"/>
    <w:rsid w:val="00F31511"/>
    <w:rsid w:val="00F322EC"/>
    <w:rsid w:val="00F36DFD"/>
    <w:rsid w:val="00F40112"/>
    <w:rsid w:val="00F40B64"/>
    <w:rsid w:val="00F44895"/>
    <w:rsid w:val="00F44B58"/>
    <w:rsid w:val="00F47F5F"/>
    <w:rsid w:val="00F63DA0"/>
    <w:rsid w:val="00F641B1"/>
    <w:rsid w:val="00F70396"/>
    <w:rsid w:val="00F74314"/>
    <w:rsid w:val="00F7431F"/>
    <w:rsid w:val="00F84869"/>
    <w:rsid w:val="00F84D2F"/>
    <w:rsid w:val="00F95718"/>
    <w:rsid w:val="00F95F07"/>
    <w:rsid w:val="00F964BB"/>
    <w:rsid w:val="00FA3807"/>
    <w:rsid w:val="00FA507D"/>
    <w:rsid w:val="00FA734F"/>
    <w:rsid w:val="00FB2169"/>
    <w:rsid w:val="00FB2936"/>
    <w:rsid w:val="00FB43FE"/>
    <w:rsid w:val="00FB5280"/>
    <w:rsid w:val="00FC05D7"/>
    <w:rsid w:val="00FC3A5B"/>
    <w:rsid w:val="00FC4844"/>
    <w:rsid w:val="00FC7BC7"/>
    <w:rsid w:val="00FD0447"/>
    <w:rsid w:val="00FD1184"/>
    <w:rsid w:val="00FD14AA"/>
    <w:rsid w:val="00FD47C1"/>
    <w:rsid w:val="00FD5330"/>
    <w:rsid w:val="00FD7B1E"/>
    <w:rsid w:val="00FE0901"/>
    <w:rsid w:val="00FE2A46"/>
    <w:rsid w:val="00FE3686"/>
    <w:rsid w:val="00FE4C07"/>
    <w:rsid w:val="00FE61C3"/>
    <w:rsid w:val="00FF4635"/>
    <w:rsid w:val="00FF61A2"/>
    <w:rsid w:val="00FF7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E63263FF-2C4D-415D-A03E-EC1E3177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1988"/>
    <w:pPr>
      <w:widowControl w:val="0"/>
    </w:pPr>
    <w:rPr>
      <w:rFonts w:cs="Calibri"/>
      <w:kern w:val="2"/>
      <w:sz w:val="24"/>
      <w:szCs w:val="24"/>
    </w:rPr>
  </w:style>
  <w:style w:type="paragraph" w:styleId="2">
    <w:name w:val="heading 2"/>
    <w:basedOn w:val="a0"/>
    <w:next w:val="a0"/>
    <w:link w:val="20"/>
    <w:uiPriority w:val="99"/>
    <w:qFormat/>
    <w:locked/>
    <w:rsid w:val="00B501A3"/>
    <w:pPr>
      <w:autoSpaceDE w:val="0"/>
      <w:autoSpaceDN w:val="0"/>
      <w:adjustRightInd w:val="0"/>
      <w:ind w:left="270" w:hanging="270"/>
      <w:outlineLvl w:val="1"/>
    </w:pPr>
    <w:rPr>
      <w:rFonts w:ascii="Cambria" w:hAnsi="Cambria" w:cs="Cambria"/>
      <w:b/>
      <w:bCs/>
      <w:kern w:val="0"/>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semiHidden/>
    <w:locked/>
    <w:rsid w:val="00FD5330"/>
    <w:rPr>
      <w:rFonts w:ascii="Cambria" w:eastAsia="新細明體" w:hAnsi="Cambria" w:cs="Cambria"/>
      <w:b/>
      <w:bCs/>
      <w:sz w:val="48"/>
      <w:szCs w:val="48"/>
    </w:rPr>
  </w:style>
  <w:style w:type="paragraph" w:customStyle="1" w:styleId="ListParagraph1">
    <w:name w:val="List Paragraph1"/>
    <w:basedOn w:val="a0"/>
    <w:uiPriority w:val="99"/>
    <w:rsid w:val="00A266E5"/>
    <w:pPr>
      <w:ind w:leftChars="200" w:left="480"/>
    </w:pPr>
  </w:style>
  <w:style w:type="paragraph" w:styleId="a4">
    <w:name w:val="Balloon Text"/>
    <w:basedOn w:val="a0"/>
    <w:link w:val="a5"/>
    <w:uiPriority w:val="99"/>
    <w:semiHidden/>
    <w:rsid w:val="00A266E5"/>
    <w:rPr>
      <w:rFonts w:ascii="Cambria" w:hAnsi="Cambria" w:cs="Cambria"/>
      <w:kern w:val="0"/>
      <w:sz w:val="18"/>
      <w:szCs w:val="18"/>
    </w:rPr>
  </w:style>
  <w:style w:type="character" w:customStyle="1" w:styleId="a5">
    <w:name w:val="註解方塊文字 字元"/>
    <w:link w:val="a4"/>
    <w:uiPriority w:val="99"/>
    <w:semiHidden/>
    <w:locked/>
    <w:rsid w:val="00A266E5"/>
    <w:rPr>
      <w:rFonts w:ascii="Cambria" w:eastAsia="新細明體" w:hAnsi="Cambria" w:cs="Cambria"/>
      <w:sz w:val="18"/>
      <w:szCs w:val="18"/>
    </w:rPr>
  </w:style>
  <w:style w:type="paragraph" w:customStyle="1" w:styleId="1">
    <w:name w:val="清單段落1"/>
    <w:basedOn w:val="a0"/>
    <w:link w:val="ListParagraphChar"/>
    <w:uiPriority w:val="99"/>
    <w:rsid w:val="00775957"/>
    <w:pPr>
      <w:ind w:leftChars="200" w:left="480"/>
    </w:pPr>
    <w:rPr>
      <w:rFonts w:eastAsia="微軟正黑體"/>
      <w:sz w:val="22"/>
      <w:szCs w:val="22"/>
    </w:rPr>
  </w:style>
  <w:style w:type="character" w:customStyle="1" w:styleId="ListParagraphChar">
    <w:name w:val="List Paragraph Char"/>
    <w:link w:val="1"/>
    <w:uiPriority w:val="99"/>
    <w:locked/>
    <w:rsid w:val="00775957"/>
    <w:rPr>
      <w:rFonts w:ascii="Calibri" w:eastAsia="微軟正黑體" w:hAnsi="Calibri" w:cs="Calibri"/>
      <w:kern w:val="2"/>
      <w:sz w:val="22"/>
      <w:szCs w:val="22"/>
      <w:lang w:val="en-US" w:eastAsia="zh-TW"/>
    </w:rPr>
  </w:style>
  <w:style w:type="paragraph" w:styleId="a6">
    <w:name w:val="header"/>
    <w:basedOn w:val="a0"/>
    <w:link w:val="a7"/>
    <w:uiPriority w:val="99"/>
    <w:rsid w:val="007B005C"/>
    <w:pPr>
      <w:tabs>
        <w:tab w:val="center" w:pos="4153"/>
        <w:tab w:val="right" w:pos="8306"/>
      </w:tabs>
      <w:snapToGrid w:val="0"/>
    </w:pPr>
    <w:rPr>
      <w:kern w:val="0"/>
      <w:sz w:val="20"/>
      <w:szCs w:val="20"/>
    </w:rPr>
  </w:style>
  <w:style w:type="character" w:customStyle="1" w:styleId="a7">
    <w:name w:val="頁首 字元"/>
    <w:link w:val="a6"/>
    <w:uiPriority w:val="99"/>
    <w:locked/>
    <w:rsid w:val="007B005C"/>
    <w:rPr>
      <w:sz w:val="20"/>
      <w:szCs w:val="20"/>
    </w:rPr>
  </w:style>
  <w:style w:type="paragraph" w:styleId="a8">
    <w:name w:val="footer"/>
    <w:basedOn w:val="a0"/>
    <w:link w:val="a9"/>
    <w:uiPriority w:val="99"/>
    <w:rsid w:val="007B005C"/>
    <w:pPr>
      <w:tabs>
        <w:tab w:val="center" w:pos="4153"/>
        <w:tab w:val="right" w:pos="8306"/>
      </w:tabs>
      <w:snapToGrid w:val="0"/>
    </w:pPr>
    <w:rPr>
      <w:kern w:val="0"/>
      <w:sz w:val="20"/>
      <w:szCs w:val="20"/>
    </w:rPr>
  </w:style>
  <w:style w:type="character" w:customStyle="1" w:styleId="a9">
    <w:name w:val="頁尾 字元"/>
    <w:link w:val="a8"/>
    <w:uiPriority w:val="99"/>
    <w:locked/>
    <w:rsid w:val="007B005C"/>
    <w:rPr>
      <w:sz w:val="20"/>
      <w:szCs w:val="20"/>
    </w:rPr>
  </w:style>
  <w:style w:type="character" w:styleId="aa">
    <w:name w:val="page number"/>
    <w:basedOn w:val="a1"/>
    <w:uiPriority w:val="99"/>
    <w:rsid w:val="00950062"/>
  </w:style>
  <w:style w:type="table" w:styleId="ab">
    <w:name w:val="Table Grid"/>
    <w:basedOn w:val="a2"/>
    <w:uiPriority w:val="99"/>
    <w:locked/>
    <w:rsid w:val="006E4F03"/>
    <w:pPr>
      <w:widowControl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99"/>
    <w:semiHidden/>
    <w:locked/>
    <w:rsid w:val="00384554"/>
    <w:pPr>
      <w:tabs>
        <w:tab w:val="right" w:leader="dot" w:pos="9600"/>
      </w:tabs>
      <w:spacing w:beforeLines="50" w:line="500" w:lineRule="atLeast"/>
    </w:pPr>
  </w:style>
  <w:style w:type="character" w:styleId="ac">
    <w:name w:val="Hyperlink"/>
    <w:uiPriority w:val="99"/>
    <w:rsid w:val="0012240D"/>
    <w:rPr>
      <w:color w:val="0000FF"/>
      <w:u w:val="single"/>
    </w:rPr>
  </w:style>
  <w:style w:type="paragraph" w:customStyle="1" w:styleId="ad">
    <w:name w:val="季報表"/>
    <w:basedOn w:val="a0"/>
    <w:link w:val="ae"/>
    <w:uiPriority w:val="99"/>
    <w:rsid w:val="000B1163"/>
    <w:pPr>
      <w:adjustRightInd w:val="0"/>
      <w:snapToGrid w:val="0"/>
      <w:spacing w:beforeLines="50" w:afterLines="50" w:line="240" w:lineRule="atLeast"/>
      <w:jc w:val="both"/>
    </w:pPr>
    <w:rPr>
      <w:rFonts w:ascii="微軟正黑體" w:eastAsia="微軟正黑體" w:hAnsi="微軟正黑體" w:cs="微軟正黑體"/>
      <w:kern w:val="0"/>
      <w:sz w:val="26"/>
      <w:szCs w:val="26"/>
    </w:rPr>
  </w:style>
  <w:style w:type="character" w:customStyle="1" w:styleId="ae">
    <w:name w:val="季報表 字元"/>
    <w:link w:val="ad"/>
    <w:uiPriority w:val="99"/>
    <w:locked/>
    <w:rsid w:val="000B1163"/>
    <w:rPr>
      <w:rFonts w:ascii="微軟正黑體" w:eastAsia="微軟正黑體" w:hAnsi="微軟正黑體" w:cs="微軟正黑體"/>
      <w:sz w:val="26"/>
      <w:szCs w:val="26"/>
      <w:lang w:val="en-US" w:eastAsia="zh-TW"/>
    </w:rPr>
  </w:style>
  <w:style w:type="paragraph" w:customStyle="1" w:styleId="11">
    <w:name w:val="內文1"/>
    <w:uiPriority w:val="99"/>
    <w:rsid w:val="00B501A3"/>
    <w:rPr>
      <w:rFonts w:ascii="Helvetica" w:hAnsi="Helvetica" w:cs="Helvetica"/>
      <w:color w:val="000000"/>
      <w:sz w:val="24"/>
      <w:szCs w:val="24"/>
    </w:rPr>
  </w:style>
  <w:style w:type="paragraph" w:customStyle="1" w:styleId="af">
    <w:name w:val="頁首與頁尾"/>
    <w:uiPriority w:val="99"/>
    <w:rsid w:val="00CE73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632"/>
      </w:tabs>
    </w:pPr>
    <w:rPr>
      <w:rFonts w:ascii="Helvetica" w:hAnsi="Helvetica" w:cs="Helvetica"/>
      <w:color w:val="000000"/>
    </w:rPr>
  </w:style>
  <w:style w:type="numbering" w:customStyle="1" w:styleId="a">
    <w:name w:val="法律樣式"/>
    <w:rsid w:val="00E7195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6202">
      <w:marLeft w:val="0"/>
      <w:marRight w:val="0"/>
      <w:marTop w:val="0"/>
      <w:marBottom w:val="0"/>
      <w:divBdr>
        <w:top w:val="none" w:sz="0" w:space="0" w:color="auto"/>
        <w:left w:val="none" w:sz="0" w:space="0" w:color="auto"/>
        <w:bottom w:val="none" w:sz="0" w:space="0" w:color="auto"/>
        <w:right w:val="none" w:sz="0" w:space="0" w:color="auto"/>
      </w:divBdr>
      <w:divsChild>
        <w:div w:id="335766200">
          <w:marLeft w:val="0"/>
          <w:marRight w:val="0"/>
          <w:marTop w:val="0"/>
          <w:marBottom w:val="0"/>
          <w:divBdr>
            <w:top w:val="none" w:sz="0" w:space="0" w:color="auto"/>
            <w:left w:val="none" w:sz="0" w:space="0" w:color="auto"/>
            <w:bottom w:val="none" w:sz="0" w:space="0" w:color="auto"/>
            <w:right w:val="none" w:sz="0" w:space="0" w:color="auto"/>
          </w:divBdr>
        </w:div>
      </w:divsChild>
    </w:div>
    <w:div w:id="335766203">
      <w:marLeft w:val="0"/>
      <w:marRight w:val="0"/>
      <w:marTop w:val="0"/>
      <w:marBottom w:val="0"/>
      <w:divBdr>
        <w:top w:val="none" w:sz="0" w:space="0" w:color="auto"/>
        <w:left w:val="none" w:sz="0" w:space="0" w:color="auto"/>
        <w:bottom w:val="none" w:sz="0" w:space="0" w:color="auto"/>
        <w:right w:val="none" w:sz="0" w:space="0" w:color="auto"/>
      </w:divBdr>
    </w:div>
    <w:div w:id="335766204">
      <w:marLeft w:val="0"/>
      <w:marRight w:val="0"/>
      <w:marTop w:val="0"/>
      <w:marBottom w:val="0"/>
      <w:divBdr>
        <w:top w:val="none" w:sz="0" w:space="0" w:color="auto"/>
        <w:left w:val="none" w:sz="0" w:space="0" w:color="auto"/>
        <w:bottom w:val="none" w:sz="0" w:space="0" w:color="auto"/>
        <w:right w:val="none" w:sz="0" w:space="0" w:color="auto"/>
      </w:divBdr>
    </w:div>
    <w:div w:id="335766205">
      <w:marLeft w:val="0"/>
      <w:marRight w:val="0"/>
      <w:marTop w:val="0"/>
      <w:marBottom w:val="0"/>
      <w:divBdr>
        <w:top w:val="none" w:sz="0" w:space="0" w:color="auto"/>
        <w:left w:val="none" w:sz="0" w:space="0" w:color="auto"/>
        <w:bottom w:val="none" w:sz="0" w:space="0" w:color="auto"/>
        <w:right w:val="none" w:sz="0" w:space="0" w:color="auto"/>
      </w:divBdr>
      <w:divsChild>
        <w:div w:id="33576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16</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最新統計報告摘要：</dc:title>
  <dc:subject/>
  <dc:creator>林孟杰</dc:creator>
  <cp:keywords/>
  <dc:description/>
  <cp:lastModifiedBy>李瑀姍</cp:lastModifiedBy>
  <cp:revision>28</cp:revision>
  <cp:lastPrinted>2017-03-15T06:42:00Z</cp:lastPrinted>
  <dcterms:created xsi:type="dcterms:W3CDTF">2017-03-08T01:52:00Z</dcterms:created>
  <dcterms:modified xsi:type="dcterms:W3CDTF">2017-06-22T07:41:00Z</dcterms:modified>
</cp:coreProperties>
</file>