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A3" w:rsidRPr="00C422E6" w:rsidRDefault="00C42AA3" w:rsidP="00EB4BE5">
      <w:pPr>
        <w:jc w:val="both"/>
        <w:rPr>
          <w:rFonts w:ascii="標楷體" w:eastAsia="標楷體" w:hAnsi="標楷體" w:cs="Times New Roman"/>
        </w:rPr>
      </w:pPr>
    </w:p>
    <w:p w:rsidR="00C42AA3" w:rsidRPr="00C422E6" w:rsidRDefault="00C42AA3" w:rsidP="00EB4BE5">
      <w:pPr>
        <w:jc w:val="both"/>
        <w:rPr>
          <w:rFonts w:ascii="標楷體" w:eastAsia="標楷體" w:hAnsi="標楷體" w:cs="Times New Roman"/>
        </w:rPr>
      </w:pPr>
    </w:p>
    <w:p w:rsidR="00C42AA3" w:rsidRPr="00C422E6" w:rsidRDefault="00C42AA3" w:rsidP="00EB4BE5">
      <w:pPr>
        <w:jc w:val="both"/>
        <w:rPr>
          <w:rFonts w:ascii="標楷體" w:eastAsia="標楷體" w:hAnsi="標楷體" w:cs="Times New Roman"/>
        </w:rPr>
      </w:pPr>
    </w:p>
    <w:p w:rsidR="00C42AA3" w:rsidRPr="00C422E6" w:rsidRDefault="00C42AA3" w:rsidP="00EB4BE5">
      <w:pPr>
        <w:jc w:val="both"/>
        <w:rPr>
          <w:rFonts w:ascii="標楷體" w:eastAsia="標楷體" w:hAnsi="標楷體" w:cs="Times New Roman"/>
        </w:rPr>
      </w:pPr>
    </w:p>
    <w:p w:rsidR="00C42AA3" w:rsidRPr="00C422E6" w:rsidRDefault="00C42AA3" w:rsidP="00EB4BE5">
      <w:pPr>
        <w:jc w:val="both"/>
        <w:rPr>
          <w:rFonts w:ascii="標楷體" w:eastAsia="標楷體" w:hAnsi="標楷體" w:cs="Times New Roman"/>
        </w:rPr>
      </w:pPr>
    </w:p>
    <w:p w:rsidR="00C42AA3" w:rsidRPr="00C422E6" w:rsidRDefault="00C42AA3" w:rsidP="00EB4BE5">
      <w:pPr>
        <w:jc w:val="both"/>
        <w:rPr>
          <w:rFonts w:ascii="標楷體" w:eastAsia="標楷體" w:hAnsi="標楷體" w:cs="Times New Roman"/>
        </w:rPr>
      </w:pPr>
    </w:p>
    <w:p w:rsidR="00C42AA3" w:rsidRPr="00C422E6" w:rsidRDefault="00C42AA3" w:rsidP="00EB4BE5">
      <w:pPr>
        <w:jc w:val="both"/>
        <w:rPr>
          <w:rFonts w:ascii="標楷體" w:eastAsia="標楷體" w:hAnsi="標楷體" w:cs="Times New Roman"/>
        </w:rPr>
      </w:pPr>
    </w:p>
    <w:p w:rsidR="00C42AA3" w:rsidRPr="00C422E6" w:rsidRDefault="00C42AA3" w:rsidP="00184E16">
      <w:pPr>
        <w:spacing w:beforeLines="800" w:before="1920"/>
        <w:ind w:leftChars="400" w:left="960" w:rightChars="400" w:right="960"/>
        <w:jc w:val="center"/>
        <w:rPr>
          <w:rFonts w:ascii="標楷體" w:eastAsia="標楷體" w:hAnsi="標楷體" w:cs="Times New Roman"/>
          <w:b/>
          <w:bCs/>
          <w:sz w:val="96"/>
          <w:szCs w:val="96"/>
        </w:rPr>
      </w:pPr>
      <w:r w:rsidRPr="00C422E6">
        <w:rPr>
          <w:rFonts w:ascii="標楷體" w:eastAsia="標楷體" w:hAnsi="標楷體" w:cs="標楷體" w:hint="eastAsia"/>
          <w:b/>
          <w:bCs/>
          <w:sz w:val="96"/>
          <w:szCs w:val="96"/>
        </w:rPr>
        <w:t>住宅價格指數</w:t>
      </w:r>
    </w:p>
    <w:p w:rsidR="00C42AA3" w:rsidRPr="00C422E6" w:rsidRDefault="00C42AA3" w:rsidP="00184E16">
      <w:pPr>
        <w:spacing w:beforeLines="800" w:before="1920"/>
        <w:ind w:leftChars="400" w:left="960" w:rightChars="400" w:right="960"/>
        <w:jc w:val="both"/>
        <w:rPr>
          <w:rFonts w:ascii="標楷體" w:eastAsia="標楷體" w:hAnsi="標楷體" w:cs="Times New Roman"/>
          <w:sz w:val="36"/>
          <w:szCs w:val="36"/>
        </w:rPr>
      </w:pPr>
    </w:p>
    <w:p w:rsidR="00C42AA3" w:rsidRPr="00C422E6" w:rsidRDefault="00C42AA3" w:rsidP="00184E16">
      <w:pPr>
        <w:spacing w:beforeLines="800" w:before="1920"/>
        <w:ind w:leftChars="400" w:left="960" w:rightChars="400" w:right="960"/>
        <w:jc w:val="both"/>
        <w:rPr>
          <w:rFonts w:ascii="標楷體" w:eastAsia="標楷體" w:hAnsi="標楷體" w:cs="Times New Roman"/>
          <w:sz w:val="36"/>
          <w:szCs w:val="36"/>
        </w:rPr>
      </w:pPr>
    </w:p>
    <w:p w:rsidR="00C42AA3" w:rsidRPr="00C422E6" w:rsidRDefault="00C42AA3" w:rsidP="00184E16">
      <w:pPr>
        <w:spacing w:beforeLines="50" w:before="120"/>
        <w:ind w:leftChars="250" w:left="600" w:rightChars="400" w:right="960"/>
        <w:jc w:val="both"/>
        <w:rPr>
          <w:rFonts w:ascii="標楷體" w:eastAsia="標楷體" w:hAnsi="標楷體" w:cs="Times New Roman"/>
          <w:sz w:val="36"/>
          <w:szCs w:val="36"/>
        </w:rPr>
      </w:pPr>
    </w:p>
    <w:p w:rsidR="00C42AA3" w:rsidRPr="00C422E6" w:rsidRDefault="00C42AA3" w:rsidP="00184E16">
      <w:pPr>
        <w:spacing w:beforeLines="50" w:before="120"/>
        <w:ind w:leftChars="250" w:left="600" w:rightChars="400" w:right="960"/>
        <w:jc w:val="both"/>
        <w:rPr>
          <w:rFonts w:ascii="標楷體" w:eastAsia="標楷體" w:hAnsi="標楷體" w:cs="Times New Roman"/>
          <w:sz w:val="36"/>
          <w:szCs w:val="36"/>
        </w:rPr>
      </w:pPr>
      <w:bookmarkStart w:id="0" w:name="_GoBack"/>
      <w:bookmarkEnd w:id="0"/>
    </w:p>
    <w:p w:rsidR="00C42AA3" w:rsidRPr="00C422E6" w:rsidRDefault="00C42AA3" w:rsidP="00184E16">
      <w:pPr>
        <w:spacing w:beforeLines="50" w:before="120"/>
        <w:ind w:leftChars="250" w:left="600" w:rightChars="400" w:right="960"/>
        <w:jc w:val="both"/>
        <w:rPr>
          <w:rFonts w:ascii="標楷體" w:eastAsia="標楷體" w:hAnsi="標楷體" w:cs="Times New Roman"/>
          <w:sz w:val="36"/>
          <w:szCs w:val="36"/>
        </w:rPr>
      </w:pPr>
    </w:p>
    <w:p w:rsidR="00C42AA3" w:rsidRPr="00C422E6" w:rsidRDefault="00C42AA3" w:rsidP="00184E16">
      <w:pPr>
        <w:spacing w:beforeLines="50" w:before="120"/>
        <w:ind w:leftChars="250" w:left="600" w:rightChars="400" w:right="960"/>
        <w:jc w:val="both"/>
        <w:rPr>
          <w:rFonts w:ascii="標楷體" w:eastAsia="標楷體" w:hAnsi="標楷體" w:cs="Times New Roman"/>
          <w:sz w:val="36"/>
          <w:szCs w:val="36"/>
        </w:rPr>
      </w:pPr>
      <w:r w:rsidRPr="00C422E6">
        <w:rPr>
          <w:rFonts w:ascii="標楷體" w:eastAsia="標楷體" w:hAnsi="標楷體" w:cs="標楷體" w:hint="eastAsia"/>
          <w:sz w:val="36"/>
          <w:szCs w:val="36"/>
        </w:rPr>
        <w:t>基期：中華民國</w:t>
      </w:r>
      <w:r w:rsidRPr="00C422E6">
        <w:rPr>
          <w:rFonts w:ascii="標楷體" w:eastAsia="標楷體" w:hAnsi="標楷體" w:cs="標楷體"/>
          <w:sz w:val="36"/>
          <w:szCs w:val="36"/>
        </w:rPr>
        <w:t>102</w:t>
      </w:r>
      <w:r w:rsidRPr="00C422E6">
        <w:rPr>
          <w:rFonts w:ascii="標楷體" w:eastAsia="標楷體" w:hAnsi="標楷體" w:cs="標楷體" w:hint="eastAsia"/>
          <w:sz w:val="36"/>
          <w:szCs w:val="36"/>
        </w:rPr>
        <w:t>年全年</w:t>
      </w:r>
    </w:p>
    <w:p w:rsidR="00C42AA3" w:rsidRPr="00C422E6" w:rsidRDefault="00C42AA3" w:rsidP="00184E16">
      <w:pPr>
        <w:spacing w:beforeLines="50" w:before="120"/>
        <w:ind w:leftChars="250" w:left="600" w:rightChars="400" w:right="960"/>
        <w:jc w:val="both"/>
        <w:rPr>
          <w:rFonts w:ascii="標楷體" w:eastAsia="標楷體" w:hAnsi="標楷體" w:cs="Times New Roman"/>
          <w:sz w:val="36"/>
          <w:szCs w:val="36"/>
        </w:rPr>
      </w:pPr>
      <w:r w:rsidRPr="00C422E6">
        <w:rPr>
          <w:rFonts w:ascii="標楷體" w:eastAsia="標楷體" w:hAnsi="標楷體" w:cs="標楷體" w:hint="eastAsia"/>
          <w:sz w:val="36"/>
          <w:szCs w:val="36"/>
        </w:rPr>
        <w:t>計算期：</w:t>
      </w:r>
      <w:r w:rsidRPr="00C422E6">
        <w:rPr>
          <w:rFonts w:ascii="標楷體" w:eastAsia="標楷體" w:hAnsi="標楷體" w:cs="標楷體"/>
          <w:sz w:val="36"/>
          <w:szCs w:val="36"/>
        </w:rPr>
        <w:t>101</w:t>
      </w:r>
      <w:r w:rsidRPr="00C422E6">
        <w:rPr>
          <w:rFonts w:ascii="標楷體" w:eastAsia="標楷體" w:hAnsi="標楷體" w:cs="標楷體" w:hint="eastAsia"/>
          <w:sz w:val="36"/>
          <w:szCs w:val="36"/>
        </w:rPr>
        <w:t>年第</w:t>
      </w:r>
      <w:r w:rsidRPr="00C422E6">
        <w:rPr>
          <w:rFonts w:ascii="標楷體" w:eastAsia="標楷體" w:hAnsi="標楷體" w:cs="標楷體"/>
          <w:sz w:val="36"/>
          <w:szCs w:val="36"/>
        </w:rPr>
        <w:t>3</w:t>
      </w:r>
      <w:r w:rsidRPr="00C422E6">
        <w:rPr>
          <w:rFonts w:ascii="標楷體" w:eastAsia="標楷體" w:hAnsi="標楷體" w:cs="標楷體" w:hint="eastAsia"/>
          <w:sz w:val="36"/>
          <w:szCs w:val="36"/>
        </w:rPr>
        <w:t>季至</w:t>
      </w:r>
      <w:r w:rsidRPr="00C422E6">
        <w:rPr>
          <w:rFonts w:ascii="標楷體" w:eastAsia="標楷體" w:hAnsi="標楷體" w:cs="標楷體"/>
          <w:sz w:val="36"/>
          <w:szCs w:val="36"/>
        </w:rPr>
        <w:t>105</w:t>
      </w:r>
      <w:r w:rsidRPr="00C422E6">
        <w:rPr>
          <w:rFonts w:ascii="標楷體" w:eastAsia="標楷體" w:hAnsi="標楷體" w:cs="標楷體" w:hint="eastAsia"/>
          <w:sz w:val="36"/>
          <w:szCs w:val="36"/>
        </w:rPr>
        <w:t>年第</w:t>
      </w:r>
      <w:r>
        <w:rPr>
          <w:rFonts w:ascii="標楷體" w:eastAsia="標楷體" w:hAnsi="標楷體" w:cs="標楷體"/>
          <w:sz w:val="36"/>
          <w:szCs w:val="36"/>
        </w:rPr>
        <w:t>2</w:t>
      </w:r>
      <w:r w:rsidRPr="00C422E6">
        <w:rPr>
          <w:rFonts w:ascii="標楷體" w:eastAsia="標楷體" w:hAnsi="標楷體" w:cs="標楷體" w:hint="eastAsia"/>
          <w:sz w:val="36"/>
          <w:szCs w:val="36"/>
        </w:rPr>
        <w:t>季</w:t>
      </w:r>
    </w:p>
    <w:p w:rsidR="00C42AA3" w:rsidRPr="00C422E6" w:rsidRDefault="00C42AA3" w:rsidP="00184E16">
      <w:pPr>
        <w:spacing w:beforeLines="50" w:before="120"/>
        <w:ind w:leftChars="250" w:left="600" w:rightChars="400" w:right="960"/>
        <w:jc w:val="both"/>
        <w:rPr>
          <w:rFonts w:ascii="標楷體" w:eastAsia="標楷體" w:hAnsi="標楷體" w:cs="Times New Roman"/>
          <w:b/>
          <w:bCs/>
          <w:sz w:val="36"/>
          <w:szCs w:val="36"/>
        </w:rPr>
      </w:pPr>
      <w:r w:rsidRPr="00C422E6">
        <w:rPr>
          <w:rFonts w:ascii="標楷體" w:eastAsia="標楷體" w:hAnsi="標楷體" w:cs="標楷體" w:hint="eastAsia"/>
          <w:sz w:val="36"/>
          <w:szCs w:val="36"/>
        </w:rPr>
        <w:t>中華民國</w:t>
      </w:r>
      <w:r w:rsidRPr="00C422E6">
        <w:rPr>
          <w:rFonts w:ascii="標楷體" w:eastAsia="標楷體" w:hAnsi="標楷體" w:cs="標楷體"/>
          <w:sz w:val="36"/>
          <w:szCs w:val="36"/>
        </w:rPr>
        <w:t>105</w:t>
      </w:r>
      <w:r w:rsidRPr="00C422E6">
        <w:rPr>
          <w:rFonts w:ascii="標楷體" w:eastAsia="標楷體" w:hAnsi="標楷體" w:cs="標楷體" w:hint="eastAsia"/>
          <w:sz w:val="36"/>
          <w:szCs w:val="36"/>
        </w:rPr>
        <w:t>年</w:t>
      </w:r>
      <w:r>
        <w:rPr>
          <w:rFonts w:ascii="標楷體" w:eastAsia="標楷體" w:hAnsi="標楷體" w:cs="標楷體"/>
          <w:sz w:val="36"/>
          <w:szCs w:val="36"/>
        </w:rPr>
        <w:t>11</w:t>
      </w:r>
      <w:r w:rsidRPr="00C422E6">
        <w:rPr>
          <w:rFonts w:ascii="標楷體" w:eastAsia="標楷體" w:hAnsi="標楷體" w:cs="標楷體" w:hint="eastAsia"/>
          <w:sz w:val="36"/>
          <w:szCs w:val="36"/>
        </w:rPr>
        <w:t>月</w:t>
      </w:r>
      <w:r w:rsidRPr="00C422E6">
        <w:rPr>
          <w:rFonts w:ascii="標楷體" w:eastAsia="標楷體" w:hAnsi="標楷體" w:cs="標楷體"/>
          <w:sz w:val="36"/>
          <w:szCs w:val="36"/>
        </w:rPr>
        <w:t xml:space="preserve"> </w:t>
      </w:r>
      <w:r w:rsidRPr="00C422E6">
        <w:rPr>
          <w:rFonts w:ascii="標楷體" w:eastAsia="標楷體" w:hAnsi="標楷體" w:cs="Times New Roman"/>
          <w:b/>
          <w:bCs/>
          <w:sz w:val="40"/>
          <w:szCs w:val="40"/>
        </w:rPr>
        <w:br w:type="page"/>
      </w:r>
      <w:r w:rsidRPr="00C422E6">
        <w:rPr>
          <w:rFonts w:ascii="標楷體" w:eastAsia="標楷體" w:hAnsi="標楷體" w:cs="標楷體" w:hint="eastAsia"/>
          <w:b/>
          <w:bCs/>
          <w:sz w:val="40"/>
          <w:szCs w:val="40"/>
        </w:rPr>
        <w:lastRenderedPageBreak/>
        <w:t>住宅價格指數</w:t>
      </w:r>
    </w:p>
    <w:p w:rsidR="00C42AA3" w:rsidRPr="00C422E6" w:rsidRDefault="00C42AA3" w:rsidP="00184E16">
      <w:pPr>
        <w:spacing w:beforeLines="50" w:before="120" w:afterLines="50" w:after="120"/>
        <w:jc w:val="both"/>
        <w:rPr>
          <w:rFonts w:ascii="標楷體" w:eastAsia="標楷體" w:hAnsi="標楷體" w:cs="Times New Roman"/>
          <w:b/>
          <w:bCs/>
          <w:sz w:val="36"/>
          <w:szCs w:val="36"/>
        </w:rPr>
      </w:pPr>
      <w:r w:rsidRPr="00C422E6">
        <w:rPr>
          <w:rFonts w:ascii="標楷體" w:eastAsia="標楷體" w:hAnsi="標楷體" w:cs="標楷體" w:hint="eastAsia"/>
          <w:b/>
          <w:bCs/>
          <w:sz w:val="36"/>
          <w:szCs w:val="36"/>
        </w:rPr>
        <w:t>【目錄】</w:t>
      </w:r>
    </w:p>
    <w:p w:rsidR="00C42AA3" w:rsidRPr="00C422E6" w:rsidRDefault="00C42AA3" w:rsidP="00184E16">
      <w:pPr>
        <w:pStyle w:val="10"/>
        <w:spacing w:before="120"/>
        <w:rPr>
          <w:rFonts w:ascii="標楷體" w:eastAsia="標楷體" w:hAnsi="標楷體" w:cs="Times New Roman"/>
          <w:noProof/>
          <w:sz w:val="36"/>
          <w:szCs w:val="36"/>
        </w:rPr>
      </w:pPr>
      <w:r w:rsidRPr="00C422E6">
        <w:rPr>
          <w:rStyle w:val="ab"/>
          <w:rFonts w:ascii="標楷體" w:eastAsia="標楷體" w:hAnsi="標楷體" w:cs="標楷體"/>
          <w:sz w:val="36"/>
          <w:szCs w:val="36"/>
        </w:rPr>
        <w:fldChar w:fldCharType="begin"/>
      </w:r>
      <w:r w:rsidRPr="00C422E6">
        <w:rPr>
          <w:rStyle w:val="ab"/>
          <w:rFonts w:ascii="標楷體" w:eastAsia="標楷體" w:hAnsi="標楷體" w:cs="標楷體"/>
          <w:sz w:val="36"/>
          <w:szCs w:val="36"/>
        </w:rPr>
        <w:instrText xml:space="preserve"> TOC \o "1-1" \h \z \u </w:instrText>
      </w:r>
      <w:r w:rsidRPr="00C422E6">
        <w:rPr>
          <w:rStyle w:val="ab"/>
          <w:rFonts w:ascii="標楷體" w:eastAsia="標楷體" w:hAnsi="標楷體" w:cs="標楷體"/>
          <w:sz w:val="36"/>
          <w:szCs w:val="36"/>
        </w:rPr>
        <w:fldChar w:fldCharType="separate"/>
      </w:r>
      <w:hyperlink w:anchor="_Toc444595130" w:history="1">
        <w:r w:rsidRPr="00C422E6">
          <w:rPr>
            <w:rStyle w:val="ab"/>
            <w:rFonts w:ascii="標楷體" w:eastAsia="標楷體" w:hAnsi="標楷體" w:cs="標楷體" w:hint="eastAsia"/>
            <w:b/>
            <w:bCs/>
            <w:noProof/>
            <w:sz w:val="36"/>
            <w:szCs w:val="36"/>
          </w:rPr>
          <w:t>壹、前言</w:t>
        </w:r>
        <w:r w:rsidRPr="00C422E6">
          <w:rPr>
            <w:rFonts w:ascii="標楷體" w:eastAsia="標楷體" w:hAnsi="標楷體" w:cs="Times New Roman"/>
            <w:noProof/>
            <w:webHidden/>
            <w:sz w:val="36"/>
            <w:szCs w:val="36"/>
          </w:rPr>
          <w:tab/>
        </w:r>
        <w:r w:rsidRPr="00C422E6">
          <w:rPr>
            <w:rFonts w:ascii="標楷體" w:eastAsia="標楷體" w:hAnsi="標楷體" w:cs="標楷體"/>
            <w:noProof/>
            <w:webHidden/>
            <w:sz w:val="36"/>
            <w:szCs w:val="36"/>
          </w:rPr>
          <w:fldChar w:fldCharType="begin"/>
        </w:r>
        <w:r w:rsidRPr="00C422E6">
          <w:rPr>
            <w:rFonts w:ascii="標楷體" w:eastAsia="標楷體" w:hAnsi="標楷體" w:cs="標楷體"/>
            <w:noProof/>
            <w:webHidden/>
            <w:sz w:val="36"/>
            <w:szCs w:val="36"/>
          </w:rPr>
          <w:instrText xml:space="preserve"> PAGEREF _Toc444595130 \h </w:instrText>
        </w:r>
        <w:r w:rsidRPr="00C422E6">
          <w:rPr>
            <w:rFonts w:ascii="標楷體" w:eastAsia="標楷體" w:hAnsi="標楷體" w:cs="標楷體"/>
            <w:noProof/>
            <w:webHidden/>
            <w:sz w:val="36"/>
            <w:szCs w:val="36"/>
          </w:rPr>
        </w:r>
        <w:r w:rsidRPr="00C422E6">
          <w:rPr>
            <w:rFonts w:ascii="標楷體" w:eastAsia="標楷體" w:hAnsi="標楷體" w:cs="標楷體"/>
            <w:noProof/>
            <w:webHidden/>
            <w:sz w:val="36"/>
            <w:szCs w:val="36"/>
          </w:rPr>
          <w:fldChar w:fldCharType="separate"/>
        </w:r>
        <w:r>
          <w:rPr>
            <w:rFonts w:ascii="標楷體" w:eastAsia="標楷體" w:hAnsi="標楷體" w:cs="標楷體"/>
            <w:noProof/>
            <w:webHidden/>
            <w:sz w:val="36"/>
            <w:szCs w:val="36"/>
          </w:rPr>
          <w:t>1</w:t>
        </w:r>
        <w:r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rPr>
          <w:rFonts w:ascii="標楷體" w:eastAsia="標楷體" w:hAnsi="標楷體" w:cs="Times New Roman"/>
          <w:noProof/>
          <w:sz w:val="36"/>
          <w:szCs w:val="36"/>
        </w:rPr>
      </w:pPr>
      <w:hyperlink w:anchor="_Toc444595131" w:history="1">
        <w:r w:rsidR="00C42AA3" w:rsidRPr="00C422E6">
          <w:rPr>
            <w:rStyle w:val="ab"/>
            <w:rFonts w:ascii="標楷體" w:eastAsia="標楷體" w:hAnsi="標楷體" w:cs="標楷體" w:hint="eastAsia"/>
            <w:b/>
            <w:bCs/>
            <w:noProof/>
            <w:sz w:val="36"/>
            <w:szCs w:val="36"/>
          </w:rPr>
          <w:t>貳、住宅價格指數說明</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_Toc444595131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1</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rPr>
          <w:rFonts w:ascii="標楷體" w:eastAsia="標楷體" w:hAnsi="標楷體" w:cs="Times New Roman"/>
          <w:noProof/>
          <w:sz w:val="36"/>
          <w:szCs w:val="36"/>
        </w:rPr>
      </w:pPr>
      <w:hyperlink w:anchor="_Toc444595132" w:history="1">
        <w:r w:rsidR="00C42AA3" w:rsidRPr="00C422E6">
          <w:rPr>
            <w:rStyle w:val="ab"/>
            <w:rFonts w:ascii="標楷體" w:eastAsia="標楷體" w:hAnsi="標楷體" w:cs="標楷體" w:hint="eastAsia"/>
            <w:b/>
            <w:bCs/>
            <w:noProof/>
            <w:sz w:val="36"/>
            <w:szCs w:val="36"/>
          </w:rPr>
          <w:t>參、住宅價格指數統計表</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_Toc444595132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4</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ind w:firstLineChars="118" w:firstLine="283"/>
        <w:rPr>
          <w:rFonts w:ascii="標楷體" w:eastAsia="標楷體" w:hAnsi="標楷體" w:cs="Times New Roman"/>
          <w:noProof/>
          <w:sz w:val="36"/>
          <w:szCs w:val="36"/>
        </w:rPr>
      </w:pPr>
      <w:hyperlink w:anchor="_Toc444595133" w:history="1">
        <w:r w:rsidR="00C42AA3" w:rsidRPr="00C422E6">
          <w:rPr>
            <w:rStyle w:val="ab"/>
            <w:rFonts w:ascii="標楷體" w:eastAsia="標楷體" w:hAnsi="標楷體" w:cs="標楷體" w:hint="eastAsia"/>
            <w:noProof/>
            <w:sz w:val="36"/>
            <w:szCs w:val="36"/>
          </w:rPr>
          <w:t>表</w:t>
        </w:r>
        <w:r w:rsidR="00C42AA3" w:rsidRPr="00C422E6">
          <w:rPr>
            <w:rStyle w:val="ab"/>
            <w:rFonts w:ascii="標楷體" w:eastAsia="標楷體" w:hAnsi="標楷體" w:cs="標楷體"/>
            <w:noProof/>
            <w:sz w:val="36"/>
            <w:szCs w:val="36"/>
          </w:rPr>
          <w:t xml:space="preserve">1  </w:t>
        </w:r>
        <w:r w:rsidR="00C42AA3" w:rsidRPr="00C422E6">
          <w:rPr>
            <w:rStyle w:val="ab"/>
            <w:rFonts w:ascii="標楷體" w:eastAsia="標楷體" w:hAnsi="標楷體" w:cs="標楷體" w:hint="eastAsia"/>
            <w:noProof/>
            <w:sz w:val="36"/>
            <w:szCs w:val="36"/>
          </w:rPr>
          <w:t>全國及</w:t>
        </w:r>
        <w:r w:rsidR="00C42AA3" w:rsidRPr="00C422E6">
          <w:rPr>
            <w:rStyle w:val="ab"/>
            <w:rFonts w:ascii="標楷體" w:eastAsia="標楷體" w:hAnsi="標楷體" w:cs="標楷體"/>
            <w:noProof/>
            <w:sz w:val="36"/>
            <w:szCs w:val="36"/>
          </w:rPr>
          <w:t>6</w:t>
        </w:r>
        <w:r w:rsidR="00C42AA3" w:rsidRPr="00C422E6">
          <w:rPr>
            <w:rStyle w:val="ab"/>
            <w:rFonts w:ascii="標楷體" w:eastAsia="標楷體" w:hAnsi="標楷體" w:cs="標楷體" w:hint="eastAsia"/>
            <w:noProof/>
            <w:sz w:val="36"/>
            <w:szCs w:val="36"/>
          </w:rPr>
          <w:t>直轄市住宅價格指數表</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_Toc444595133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4</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ind w:firstLineChars="118" w:firstLine="283"/>
        <w:rPr>
          <w:rFonts w:ascii="標楷體" w:eastAsia="標楷體" w:hAnsi="標楷體" w:cs="Times New Roman"/>
          <w:noProof/>
          <w:sz w:val="36"/>
          <w:szCs w:val="36"/>
        </w:rPr>
      </w:pPr>
      <w:hyperlink w:anchor="_Toc444595134" w:history="1">
        <w:r w:rsidR="00C42AA3" w:rsidRPr="00C422E6">
          <w:rPr>
            <w:rStyle w:val="ab"/>
            <w:rFonts w:ascii="標楷體" w:eastAsia="標楷體" w:hAnsi="標楷體" w:cs="標楷體" w:hint="eastAsia"/>
            <w:noProof/>
            <w:sz w:val="36"/>
            <w:szCs w:val="36"/>
          </w:rPr>
          <w:t>表</w:t>
        </w:r>
        <w:r w:rsidR="00C42AA3" w:rsidRPr="00C422E6">
          <w:rPr>
            <w:rStyle w:val="ab"/>
            <w:rFonts w:ascii="標楷體" w:eastAsia="標楷體" w:hAnsi="標楷體" w:cs="標楷體"/>
            <w:noProof/>
            <w:sz w:val="36"/>
            <w:szCs w:val="36"/>
          </w:rPr>
          <w:t xml:space="preserve">2  </w:t>
        </w:r>
        <w:r w:rsidR="00C42AA3" w:rsidRPr="00C422E6">
          <w:rPr>
            <w:rStyle w:val="ab"/>
            <w:rFonts w:ascii="標楷體" w:eastAsia="標楷體" w:hAnsi="標楷體" w:cs="標楷體" w:hint="eastAsia"/>
            <w:noProof/>
            <w:sz w:val="36"/>
            <w:szCs w:val="36"/>
          </w:rPr>
          <w:t>全國及</w:t>
        </w:r>
        <w:r w:rsidR="00C42AA3" w:rsidRPr="00C422E6">
          <w:rPr>
            <w:rStyle w:val="ab"/>
            <w:rFonts w:ascii="標楷體" w:eastAsia="標楷體" w:hAnsi="標楷體" w:cs="標楷體"/>
            <w:noProof/>
            <w:sz w:val="36"/>
            <w:szCs w:val="36"/>
          </w:rPr>
          <w:t>6</w:t>
        </w:r>
        <w:r w:rsidR="00C42AA3" w:rsidRPr="00C422E6">
          <w:rPr>
            <w:rStyle w:val="ab"/>
            <w:rFonts w:ascii="標楷體" w:eastAsia="標楷體" w:hAnsi="標楷體" w:cs="標楷體" w:hint="eastAsia"/>
            <w:noProof/>
            <w:sz w:val="36"/>
            <w:szCs w:val="36"/>
          </w:rPr>
          <w:t>直轄市住宅價格指數相對上季變動率表</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_Toc444595134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6</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ind w:firstLineChars="118" w:firstLine="283"/>
        <w:rPr>
          <w:rFonts w:ascii="標楷體" w:eastAsia="標楷體" w:hAnsi="標楷體" w:cs="Times New Roman"/>
          <w:noProof/>
          <w:sz w:val="36"/>
          <w:szCs w:val="36"/>
        </w:rPr>
      </w:pPr>
      <w:hyperlink w:anchor="_Toc444595135" w:history="1">
        <w:r w:rsidR="00C42AA3" w:rsidRPr="00C422E6">
          <w:rPr>
            <w:rStyle w:val="ab"/>
            <w:rFonts w:ascii="標楷體" w:eastAsia="標楷體" w:hAnsi="標楷體" w:cs="標楷體" w:hint="eastAsia"/>
            <w:noProof/>
            <w:sz w:val="36"/>
            <w:szCs w:val="36"/>
          </w:rPr>
          <w:t>表</w:t>
        </w:r>
        <w:r w:rsidR="00C42AA3" w:rsidRPr="00C422E6">
          <w:rPr>
            <w:rStyle w:val="ab"/>
            <w:rFonts w:ascii="標楷體" w:eastAsia="標楷體" w:hAnsi="標楷體" w:cs="標楷體"/>
            <w:noProof/>
            <w:sz w:val="36"/>
            <w:szCs w:val="36"/>
          </w:rPr>
          <w:t xml:space="preserve">3  </w:t>
        </w:r>
        <w:r w:rsidR="00C42AA3" w:rsidRPr="00C422E6">
          <w:rPr>
            <w:rStyle w:val="ab"/>
            <w:rFonts w:ascii="標楷體" w:eastAsia="標楷體" w:hAnsi="標楷體" w:cs="標楷體" w:hint="eastAsia"/>
            <w:noProof/>
            <w:sz w:val="36"/>
            <w:szCs w:val="36"/>
          </w:rPr>
          <w:t>全國及</w:t>
        </w:r>
        <w:r w:rsidR="00C42AA3" w:rsidRPr="00C422E6">
          <w:rPr>
            <w:rStyle w:val="ab"/>
            <w:rFonts w:ascii="標楷體" w:eastAsia="標楷體" w:hAnsi="標楷體" w:cs="標楷體"/>
            <w:noProof/>
            <w:sz w:val="36"/>
            <w:szCs w:val="36"/>
          </w:rPr>
          <w:t>6</w:t>
        </w:r>
        <w:r w:rsidR="00C42AA3" w:rsidRPr="00C422E6">
          <w:rPr>
            <w:rStyle w:val="ab"/>
            <w:rFonts w:ascii="標楷體" w:eastAsia="標楷體" w:hAnsi="標楷體" w:cs="標楷體" w:hint="eastAsia"/>
            <w:noProof/>
            <w:sz w:val="36"/>
            <w:szCs w:val="36"/>
          </w:rPr>
          <w:t>直轄市住宅價格指數相對去年變動率表</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_Toc444595135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7</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rPr>
          <w:rFonts w:ascii="標楷體" w:eastAsia="標楷體" w:hAnsi="標楷體" w:cs="Times New Roman"/>
          <w:noProof/>
          <w:sz w:val="36"/>
          <w:szCs w:val="36"/>
        </w:rPr>
      </w:pPr>
      <w:hyperlink w:anchor="_Toc444595136" w:history="1">
        <w:r w:rsidR="00C42AA3" w:rsidRPr="00C422E6">
          <w:rPr>
            <w:rStyle w:val="ab"/>
            <w:rFonts w:ascii="標楷體" w:eastAsia="標楷體" w:hAnsi="標楷體" w:cs="標楷體" w:hint="eastAsia"/>
            <w:b/>
            <w:bCs/>
            <w:noProof/>
            <w:sz w:val="36"/>
            <w:szCs w:val="36"/>
          </w:rPr>
          <w:t>肆、住宅價格指數圖</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_Toc444595136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8</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ind w:firstLineChars="118" w:firstLine="283"/>
        <w:rPr>
          <w:rFonts w:ascii="標楷體" w:eastAsia="標楷體" w:hAnsi="標楷體" w:cs="Times New Roman"/>
          <w:noProof/>
          <w:sz w:val="36"/>
          <w:szCs w:val="36"/>
        </w:rPr>
      </w:pPr>
      <w:hyperlink w:anchor="_Toc444595137" w:history="1">
        <w:r w:rsidR="00C42AA3" w:rsidRPr="00C422E6">
          <w:rPr>
            <w:rStyle w:val="ab"/>
            <w:rFonts w:ascii="標楷體" w:eastAsia="標楷體" w:hAnsi="標楷體" w:cs="標楷體" w:hint="eastAsia"/>
            <w:noProof/>
            <w:sz w:val="36"/>
            <w:szCs w:val="36"/>
          </w:rPr>
          <w:t>圖</w:t>
        </w:r>
        <w:r w:rsidR="00C42AA3" w:rsidRPr="00C422E6">
          <w:rPr>
            <w:rStyle w:val="ab"/>
            <w:rFonts w:ascii="標楷體" w:eastAsia="標楷體" w:hAnsi="標楷體" w:cs="標楷體"/>
            <w:noProof/>
            <w:sz w:val="36"/>
            <w:szCs w:val="36"/>
          </w:rPr>
          <w:t>1</w:t>
        </w:r>
        <w:r w:rsidR="00C42AA3" w:rsidRPr="00C422E6">
          <w:rPr>
            <w:rStyle w:val="ab"/>
            <w:rFonts w:ascii="標楷體" w:eastAsia="標楷體" w:hAnsi="標楷體" w:cs="標楷體" w:hint="eastAsia"/>
            <w:noProof/>
            <w:sz w:val="36"/>
            <w:szCs w:val="36"/>
          </w:rPr>
          <w:t xml:space="preserve">　全國住宅價格指數趨勢圖</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_Toc444595137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8</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ind w:firstLineChars="118" w:firstLine="283"/>
        <w:rPr>
          <w:rFonts w:ascii="標楷體" w:eastAsia="標楷體" w:hAnsi="標楷體" w:cs="Times New Roman"/>
          <w:noProof/>
          <w:sz w:val="36"/>
          <w:szCs w:val="36"/>
        </w:rPr>
      </w:pPr>
      <w:hyperlink w:anchor="_Toc444595138" w:history="1">
        <w:r w:rsidR="00C42AA3" w:rsidRPr="00C422E6">
          <w:rPr>
            <w:rStyle w:val="ab"/>
            <w:rFonts w:ascii="標楷體" w:eastAsia="標楷體" w:hAnsi="標楷體" w:cs="標楷體" w:hint="eastAsia"/>
            <w:noProof/>
            <w:sz w:val="36"/>
            <w:szCs w:val="36"/>
          </w:rPr>
          <w:t>圖</w:t>
        </w:r>
        <w:r w:rsidR="00C42AA3" w:rsidRPr="00C422E6">
          <w:rPr>
            <w:rStyle w:val="ab"/>
            <w:rFonts w:ascii="標楷體" w:eastAsia="標楷體" w:hAnsi="標楷體" w:cs="標楷體"/>
            <w:noProof/>
            <w:sz w:val="36"/>
            <w:szCs w:val="36"/>
          </w:rPr>
          <w:t>2</w:t>
        </w:r>
        <w:r w:rsidR="00C42AA3" w:rsidRPr="00C422E6">
          <w:rPr>
            <w:rStyle w:val="ab"/>
            <w:rFonts w:ascii="標楷體" w:eastAsia="標楷體" w:hAnsi="標楷體" w:cs="標楷體" w:hint="eastAsia"/>
            <w:noProof/>
            <w:sz w:val="36"/>
            <w:szCs w:val="36"/>
          </w:rPr>
          <w:t xml:space="preserve">　新北市住宅價格指數趨勢圖</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_Toc444595138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8</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ind w:firstLineChars="118" w:firstLine="283"/>
        <w:rPr>
          <w:rFonts w:ascii="標楷體" w:eastAsia="標楷體" w:hAnsi="標楷體" w:cs="Times New Roman"/>
          <w:noProof/>
          <w:sz w:val="36"/>
          <w:szCs w:val="36"/>
        </w:rPr>
      </w:pPr>
      <w:hyperlink w:anchor="_Toc444595139" w:history="1">
        <w:r w:rsidR="00C42AA3" w:rsidRPr="00C422E6">
          <w:rPr>
            <w:rStyle w:val="ab"/>
            <w:rFonts w:ascii="標楷體" w:eastAsia="標楷體" w:hAnsi="標楷體" w:cs="標楷體" w:hint="eastAsia"/>
            <w:noProof/>
            <w:sz w:val="36"/>
            <w:szCs w:val="36"/>
          </w:rPr>
          <w:t>圖</w:t>
        </w:r>
        <w:r w:rsidR="00C42AA3" w:rsidRPr="00C422E6">
          <w:rPr>
            <w:rStyle w:val="ab"/>
            <w:rFonts w:ascii="標楷體" w:eastAsia="標楷體" w:hAnsi="標楷體" w:cs="標楷體"/>
            <w:noProof/>
            <w:sz w:val="36"/>
            <w:szCs w:val="36"/>
          </w:rPr>
          <w:t>3</w:t>
        </w:r>
        <w:r w:rsidR="00C42AA3" w:rsidRPr="00C422E6">
          <w:rPr>
            <w:rStyle w:val="ab"/>
            <w:rFonts w:ascii="標楷體" w:eastAsia="標楷體" w:hAnsi="標楷體" w:cs="標楷體" w:hint="eastAsia"/>
            <w:noProof/>
            <w:sz w:val="36"/>
            <w:szCs w:val="36"/>
          </w:rPr>
          <w:t xml:space="preserve">　臺北市住宅價格指數趨勢圖</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_Toc444595139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8</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ind w:firstLineChars="118" w:firstLine="283"/>
        <w:rPr>
          <w:rFonts w:ascii="標楷體" w:eastAsia="標楷體" w:hAnsi="標楷體" w:cs="Times New Roman"/>
          <w:noProof/>
          <w:sz w:val="36"/>
          <w:szCs w:val="36"/>
        </w:rPr>
      </w:pPr>
      <w:hyperlink w:anchor="_Toc444595140" w:history="1">
        <w:r w:rsidR="00C42AA3" w:rsidRPr="00C422E6">
          <w:rPr>
            <w:rStyle w:val="ab"/>
            <w:rFonts w:ascii="標楷體" w:eastAsia="標楷體" w:hAnsi="標楷體" w:cs="標楷體" w:hint="eastAsia"/>
            <w:noProof/>
            <w:sz w:val="36"/>
            <w:szCs w:val="36"/>
          </w:rPr>
          <w:t>圖</w:t>
        </w:r>
        <w:r w:rsidR="00C42AA3" w:rsidRPr="00C422E6">
          <w:rPr>
            <w:rStyle w:val="ab"/>
            <w:rFonts w:ascii="標楷體" w:eastAsia="標楷體" w:hAnsi="標楷體" w:cs="標楷體"/>
            <w:noProof/>
            <w:sz w:val="36"/>
            <w:szCs w:val="36"/>
          </w:rPr>
          <w:t>4</w:t>
        </w:r>
        <w:r w:rsidR="00C42AA3" w:rsidRPr="00C422E6">
          <w:rPr>
            <w:rStyle w:val="ab"/>
            <w:rFonts w:ascii="標楷體" w:eastAsia="標楷體" w:hAnsi="標楷體" w:cs="標楷體" w:hint="eastAsia"/>
            <w:noProof/>
            <w:sz w:val="36"/>
            <w:szCs w:val="36"/>
          </w:rPr>
          <w:t xml:space="preserve">　桃園市住宅價格指數趨勢圖</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_Toc444595140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9</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ind w:firstLineChars="118" w:firstLine="283"/>
        <w:rPr>
          <w:rFonts w:ascii="標楷體" w:eastAsia="標楷體" w:hAnsi="標楷體" w:cs="Times New Roman"/>
          <w:noProof/>
          <w:sz w:val="36"/>
          <w:szCs w:val="36"/>
        </w:rPr>
      </w:pPr>
      <w:hyperlink w:anchor="_Toc444595141" w:history="1">
        <w:r w:rsidR="00C42AA3" w:rsidRPr="00C422E6">
          <w:rPr>
            <w:rStyle w:val="ab"/>
            <w:rFonts w:ascii="標楷體" w:eastAsia="標楷體" w:hAnsi="標楷體" w:cs="標楷體" w:hint="eastAsia"/>
            <w:noProof/>
            <w:sz w:val="36"/>
            <w:szCs w:val="36"/>
          </w:rPr>
          <w:t>圖</w:t>
        </w:r>
        <w:r w:rsidR="00C42AA3" w:rsidRPr="00C422E6">
          <w:rPr>
            <w:rStyle w:val="ab"/>
            <w:rFonts w:ascii="標楷體" w:eastAsia="標楷體" w:hAnsi="標楷體" w:cs="標楷體"/>
            <w:noProof/>
            <w:sz w:val="36"/>
            <w:szCs w:val="36"/>
          </w:rPr>
          <w:t>5</w:t>
        </w:r>
        <w:r w:rsidR="00C42AA3" w:rsidRPr="00C422E6">
          <w:rPr>
            <w:rStyle w:val="ab"/>
            <w:rFonts w:ascii="標楷體" w:eastAsia="標楷體" w:hAnsi="標楷體" w:cs="標楷體" w:hint="eastAsia"/>
            <w:noProof/>
            <w:sz w:val="36"/>
            <w:szCs w:val="36"/>
          </w:rPr>
          <w:t xml:space="preserve">　臺中市住宅價格指數趨勢圖</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_Toc444595141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9</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ind w:firstLineChars="118" w:firstLine="283"/>
        <w:rPr>
          <w:rFonts w:ascii="標楷體" w:eastAsia="標楷體" w:hAnsi="標楷體" w:cs="Times New Roman"/>
          <w:noProof/>
          <w:sz w:val="36"/>
          <w:szCs w:val="36"/>
        </w:rPr>
      </w:pPr>
      <w:hyperlink w:anchor="_Toc444595142" w:history="1">
        <w:r w:rsidR="00C42AA3" w:rsidRPr="00C422E6">
          <w:rPr>
            <w:rStyle w:val="ab"/>
            <w:rFonts w:ascii="標楷體" w:eastAsia="標楷體" w:hAnsi="標楷體" w:cs="標楷體" w:hint="eastAsia"/>
            <w:noProof/>
            <w:sz w:val="36"/>
            <w:szCs w:val="36"/>
          </w:rPr>
          <w:t>圖</w:t>
        </w:r>
        <w:r w:rsidR="00C42AA3" w:rsidRPr="00C422E6">
          <w:rPr>
            <w:rStyle w:val="ab"/>
            <w:rFonts w:ascii="標楷體" w:eastAsia="標楷體" w:hAnsi="標楷體" w:cs="標楷體"/>
            <w:noProof/>
            <w:sz w:val="36"/>
            <w:szCs w:val="36"/>
          </w:rPr>
          <w:t>6</w:t>
        </w:r>
        <w:r w:rsidR="00C42AA3" w:rsidRPr="00C422E6">
          <w:rPr>
            <w:rStyle w:val="ab"/>
            <w:rFonts w:ascii="標楷體" w:eastAsia="標楷體" w:hAnsi="標楷體" w:cs="標楷體" w:hint="eastAsia"/>
            <w:noProof/>
            <w:sz w:val="36"/>
            <w:szCs w:val="36"/>
          </w:rPr>
          <w:t xml:space="preserve">　臺南市住宅價格指數趨勢圖</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_Toc444595142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9</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ind w:firstLineChars="118" w:firstLine="283"/>
        <w:rPr>
          <w:rFonts w:ascii="標楷體" w:eastAsia="標楷體" w:hAnsi="標楷體" w:cs="Times New Roman"/>
          <w:noProof/>
          <w:sz w:val="36"/>
          <w:szCs w:val="36"/>
        </w:rPr>
      </w:pPr>
      <w:hyperlink w:anchor="_Toc444595143" w:history="1">
        <w:r w:rsidR="00C42AA3" w:rsidRPr="00C422E6">
          <w:rPr>
            <w:rStyle w:val="ab"/>
            <w:rFonts w:ascii="標楷體" w:eastAsia="標楷體" w:hAnsi="標楷體" w:cs="標楷體" w:hint="eastAsia"/>
            <w:noProof/>
            <w:sz w:val="36"/>
            <w:szCs w:val="36"/>
          </w:rPr>
          <w:t>圖</w:t>
        </w:r>
        <w:r w:rsidR="00C42AA3" w:rsidRPr="00C422E6">
          <w:rPr>
            <w:rStyle w:val="ab"/>
            <w:rFonts w:ascii="標楷體" w:eastAsia="標楷體" w:hAnsi="標楷體" w:cs="標楷體"/>
            <w:noProof/>
            <w:sz w:val="36"/>
            <w:szCs w:val="36"/>
          </w:rPr>
          <w:t>7</w:t>
        </w:r>
        <w:r w:rsidR="00C42AA3" w:rsidRPr="00C422E6">
          <w:rPr>
            <w:rStyle w:val="ab"/>
            <w:rFonts w:ascii="標楷體" w:eastAsia="標楷體" w:hAnsi="標楷體" w:cs="標楷體" w:hint="eastAsia"/>
            <w:noProof/>
            <w:sz w:val="36"/>
            <w:szCs w:val="36"/>
          </w:rPr>
          <w:t xml:space="preserve">　高雄市住宅價格指數趨勢圖</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_Toc444595143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10</w:t>
        </w:r>
        <w:r w:rsidR="00C42AA3" w:rsidRPr="00C422E6">
          <w:rPr>
            <w:rFonts w:ascii="標楷體" w:eastAsia="標楷體" w:hAnsi="標楷體" w:cs="標楷體"/>
            <w:noProof/>
            <w:webHidden/>
            <w:sz w:val="36"/>
            <w:szCs w:val="36"/>
          </w:rPr>
          <w:fldChar w:fldCharType="end"/>
        </w:r>
      </w:hyperlink>
    </w:p>
    <w:p w:rsidR="00C42AA3" w:rsidRPr="00C422E6" w:rsidRDefault="006776FF" w:rsidP="00904842">
      <w:pPr>
        <w:pStyle w:val="10"/>
        <w:spacing w:before="120"/>
        <w:rPr>
          <w:rFonts w:ascii="標楷體" w:eastAsia="標楷體" w:hAnsi="標楷體" w:cs="Times New Roman"/>
          <w:noProof/>
          <w:sz w:val="36"/>
          <w:szCs w:val="36"/>
        </w:rPr>
      </w:pPr>
      <w:hyperlink w:anchor="_Toc444595144" w:history="1">
        <w:r w:rsidR="00C42AA3" w:rsidRPr="00C422E6">
          <w:rPr>
            <w:rStyle w:val="ab"/>
            <w:rFonts w:ascii="標楷體" w:eastAsia="標楷體" w:hAnsi="標楷體" w:cs="標楷體" w:hint="eastAsia"/>
            <w:b/>
            <w:bCs/>
            <w:noProof/>
            <w:sz w:val="36"/>
            <w:szCs w:val="36"/>
          </w:rPr>
          <w:t>附錄一、住宅價格指數編製說明</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t>10</w:t>
        </w:r>
      </w:hyperlink>
    </w:p>
    <w:p w:rsidR="00C42AA3" w:rsidRPr="00C422E6" w:rsidRDefault="006776FF" w:rsidP="00904842">
      <w:pPr>
        <w:pStyle w:val="10"/>
        <w:spacing w:before="120"/>
        <w:rPr>
          <w:rFonts w:ascii="標楷體" w:eastAsia="標楷體" w:hAnsi="標楷體" w:cs="Times New Roman"/>
          <w:noProof/>
          <w:sz w:val="36"/>
          <w:szCs w:val="36"/>
        </w:rPr>
      </w:pPr>
      <w:hyperlink w:anchor="_Toc444595145" w:history="1">
        <w:r w:rsidR="00C42AA3" w:rsidRPr="00C422E6">
          <w:rPr>
            <w:rStyle w:val="ab"/>
            <w:rFonts w:ascii="標楷體" w:eastAsia="標楷體" w:hAnsi="標楷體" w:cs="標楷體" w:hint="eastAsia"/>
            <w:b/>
            <w:bCs/>
            <w:noProof/>
            <w:sz w:val="36"/>
            <w:szCs w:val="36"/>
          </w:rPr>
          <w:t>附錄</w:t>
        </w:r>
        <w:r w:rsidR="00C42AA3" w:rsidRPr="00C422E6">
          <w:rPr>
            <w:rStyle w:val="ab"/>
            <w:rFonts w:ascii="標楷體" w:eastAsia="標楷體" w:hAnsi="標楷體" w:cs="標楷體" w:hint="eastAsia"/>
            <w:noProof/>
            <w:sz w:val="36"/>
            <w:szCs w:val="36"/>
          </w:rPr>
          <w:t>二</w:t>
        </w:r>
        <w:r w:rsidR="00C42AA3" w:rsidRPr="00C422E6">
          <w:rPr>
            <w:rStyle w:val="ab"/>
            <w:rFonts w:ascii="標楷體" w:eastAsia="標楷體" w:hAnsi="標楷體" w:cs="標楷體" w:hint="eastAsia"/>
            <w:b/>
            <w:bCs/>
            <w:noProof/>
            <w:sz w:val="36"/>
            <w:szCs w:val="36"/>
          </w:rPr>
          <w:t>、標準住宅及住宅價格指數之問與答</w:t>
        </w:r>
        <w:r w:rsidR="00C42AA3" w:rsidRPr="00C422E6">
          <w:rPr>
            <w:rFonts w:ascii="標楷體" w:eastAsia="標楷體" w:hAnsi="標楷體" w:cs="Times New Roman"/>
            <w:noProof/>
            <w:webHidden/>
            <w:sz w:val="36"/>
            <w:szCs w:val="36"/>
          </w:rPr>
          <w:tab/>
        </w:r>
        <w:r w:rsidR="00C42AA3" w:rsidRPr="00C422E6">
          <w:rPr>
            <w:rFonts w:ascii="標楷體" w:eastAsia="標楷體" w:hAnsi="標楷體" w:cs="標楷體"/>
            <w:noProof/>
            <w:webHidden/>
            <w:sz w:val="36"/>
            <w:szCs w:val="36"/>
          </w:rPr>
          <w:fldChar w:fldCharType="begin"/>
        </w:r>
        <w:r w:rsidR="00C42AA3" w:rsidRPr="00C422E6">
          <w:rPr>
            <w:rFonts w:ascii="標楷體" w:eastAsia="標楷體" w:hAnsi="標楷體" w:cs="標楷體"/>
            <w:noProof/>
            <w:webHidden/>
            <w:sz w:val="36"/>
            <w:szCs w:val="36"/>
          </w:rPr>
          <w:instrText xml:space="preserve"> PAGEREF _Toc444595145 \h </w:instrText>
        </w:r>
        <w:r w:rsidR="00C42AA3" w:rsidRPr="00C422E6">
          <w:rPr>
            <w:rFonts w:ascii="標楷體" w:eastAsia="標楷體" w:hAnsi="標楷體" w:cs="標楷體"/>
            <w:noProof/>
            <w:webHidden/>
            <w:sz w:val="36"/>
            <w:szCs w:val="36"/>
          </w:rPr>
        </w:r>
        <w:r w:rsidR="00C42AA3" w:rsidRPr="00C422E6">
          <w:rPr>
            <w:rFonts w:ascii="標楷體" w:eastAsia="標楷體" w:hAnsi="標楷體" w:cs="標楷體"/>
            <w:noProof/>
            <w:webHidden/>
            <w:sz w:val="36"/>
            <w:szCs w:val="36"/>
          </w:rPr>
          <w:fldChar w:fldCharType="separate"/>
        </w:r>
        <w:r w:rsidR="00C42AA3">
          <w:rPr>
            <w:rFonts w:ascii="標楷體" w:eastAsia="標楷體" w:hAnsi="標楷體" w:cs="標楷體"/>
            <w:noProof/>
            <w:webHidden/>
            <w:sz w:val="36"/>
            <w:szCs w:val="36"/>
          </w:rPr>
          <w:t>13</w:t>
        </w:r>
        <w:r w:rsidR="00C42AA3" w:rsidRPr="00C422E6">
          <w:rPr>
            <w:rFonts w:ascii="標楷體" w:eastAsia="標楷體" w:hAnsi="標楷體" w:cs="標楷體"/>
            <w:noProof/>
            <w:webHidden/>
            <w:sz w:val="36"/>
            <w:szCs w:val="36"/>
          </w:rPr>
          <w:fldChar w:fldCharType="end"/>
        </w:r>
      </w:hyperlink>
    </w:p>
    <w:p w:rsidR="00C42AA3" w:rsidRPr="00C422E6" w:rsidRDefault="00C42AA3" w:rsidP="00904842">
      <w:pPr>
        <w:pStyle w:val="10"/>
        <w:spacing w:before="120"/>
        <w:jc w:val="both"/>
        <w:rPr>
          <w:rFonts w:ascii="標楷體" w:eastAsia="標楷體" w:hAnsi="標楷體" w:cs="Times New Roman"/>
        </w:rPr>
        <w:sectPr w:rsidR="00C42AA3" w:rsidRPr="00C422E6" w:rsidSect="002D41C5">
          <w:footerReference w:type="default" r:id="rId7"/>
          <w:pgSz w:w="11906" w:h="16838" w:code="9"/>
          <w:pgMar w:top="1304" w:right="1191" w:bottom="1304" w:left="1191" w:header="851" w:footer="851" w:gutter="0"/>
          <w:pgNumType w:start="0"/>
          <w:cols w:space="425"/>
          <w:titlePg/>
          <w:docGrid w:linePitch="360"/>
        </w:sectPr>
      </w:pPr>
      <w:r w:rsidRPr="00C422E6">
        <w:rPr>
          <w:rStyle w:val="ab"/>
          <w:rFonts w:ascii="標楷體" w:eastAsia="標楷體" w:hAnsi="標楷體" w:cs="標楷體"/>
          <w:sz w:val="36"/>
          <w:szCs w:val="36"/>
        </w:rPr>
        <w:fldChar w:fldCharType="end"/>
      </w:r>
    </w:p>
    <w:p w:rsidR="00C42AA3" w:rsidRPr="00C422E6" w:rsidRDefault="00C42AA3" w:rsidP="00184E16">
      <w:pPr>
        <w:spacing w:beforeLines="50" w:before="120" w:afterLines="50" w:after="120"/>
        <w:jc w:val="both"/>
        <w:rPr>
          <w:rFonts w:ascii="標楷體" w:eastAsia="標楷體" w:hAnsi="標楷體" w:cs="Times New Roman"/>
          <w:b/>
          <w:bCs/>
          <w:sz w:val="40"/>
          <w:szCs w:val="40"/>
        </w:rPr>
      </w:pPr>
      <w:r w:rsidRPr="00C422E6">
        <w:rPr>
          <w:rFonts w:ascii="標楷體" w:eastAsia="標楷體" w:hAnsi="標楷體" w:cs="標楷體" w:hint="eastAsia"/>
          <w:b/>
          <w:bCs/>
          <w:sz w:val="40"/>
          <w:szCs w:val="40"/>
        </w:rPr>
        <w:lastRenderedPageBreak/>
        <w:t>住宅價格指數</w:t>
      </w:r>
    </w:p>
    <w:p w:rsidR="00C42AA3" w:rsidRPr="00C422E6" w:rsidRDefault="00C42AA3" w:rsidP="00184E16">
      <w:pPr>
        <w:adjustRightInd w:val="0"/>
        <w:snapToGrid w:val="0"/>
        <w:spacing w:beforeLines="50" w:before="120" w:line="500" w:lineRule="atLeast"/>
        <w:jc w:val="both"/>
        <w:outlineLvl w:val="0"/>
        <w:rPr>
          <w:rFonts w:ascii="標楷體" w:eastAsia="標楷體" w:hAnsi="標楷體" w:cs="Times New Roman"/>
          <w:b/>
          <w:bCs/>
          <w:sz w:val="32"/>
          <w:szCs w:val="32"/>
        </w:rPr>
      </w:pPr>
      <w:bookmarkStart w:id="1" w:name="_Toc444595130"/>
      <w:r w:rsidRPr="00C422E6">
        <w:rPr>
          <w:rFonts w:ascii="標楷體" w:eastAsia="標楷體" w:hAnsi="標楷體" w:cs="標楷體" w:hint="eastAsia"/>
          <w:b/>
          <w:bCs/>
          <w:sz w:val="32"/>
          <w:szCs w:val="32"/>
        </w:rPr>
        <w:t>壹、前言</w:t>
      </w:r>
      <w:bookmarkEnd w:id="1"/>
    </w:p>
    <w:p w:rsidR="00C42AA3" w:rsidRPr="00C422E6" w:rsidRDefault="00C42AA3" w:rsidP="00184E16">
      <w:pPr>
        <w:adjustRightInd w:val="0"/>
        <w:snapToGrid w:val="0"/>
        <w:spacing w:beforeLines="50" w:before="120" w:line="500" w:lineRule="atLeast"/>
        <w:ind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行政院</w:t>
      </w:r>
      <w:r w:rsidRPr="00C422E6">
        <w:rPr>
          <w:rFonts w:ascii="標楷體" w:eastAsia="標楷體" w:hAnsi="標楷體" w:cs="標楷體"/>
          <w:sz w:val="32"/>
          <w:szCs w:val="32"/>
        </w:rPr>
        <w:t>100</w:t>
      </w:r>
      <w:r w:rsidRPr="00C422E6">
        <w:rPr>
          <w:rFonts w:ascii="標楷體" w:eastAsia="標楷體" w:hAnsi="標楷體" w:cs="標楷體" w:hint="eastAsia"/>
          <w:sz w:val="32"/>
          <w:szCs w:val="32"/>
        </w:rPr>
        <w:t>年</w:t>
      </w:r>
      <w:r w:rsidRPr="00C422E6">
        <w:rPr>
          <w:rFonts w:ascii="標楷體" w:eastAsia="標楷體" w:hAnsi="標楷體" w:cs="標楷體"/>
          <w:sz w:val="32"/>
          <w:szCs w:val="32"/>
        </w:rPr>
        <w:t>10</w:t>
      </w:r>
      <w:r w:rsidRPr="00C422E6">
        <w:rPr>
          <w:rFonts w:ascii="標楷體" w:eastAsia="標楷體" w:hAnsi="標楷體" w:cs="標楷體" w:hint="eastAsia"/>
          <w:sz w:val="32"/>
          <w:szCs w:val="32"/>
        </w:rPr>
        <w:t>月</w:t>
      </w:r>
      <w:r w:rsidRPr="00C422E6">
        <w:rPr>
          <w:rFonts w:ascii="標楷體" w:eastAsia="標楷體" w:hAnsi="標楷體" w:cs="標楷體"/>
          <w:sz w:val="32"/>
          <w:szCs w:val="32"/>
        </w:rPr>
        <w:t>26</w:t>
      </w:r>
      <w:r w:rsidRPr="00C422E6">
        <w:rPr>
          <w:rFonts w:ascii="標楷體" w:eastAsia="標楷體" w:hAnsi="標楷體" w:cs="標楷體" w:hint="eastAsia"/>
          <w:sz w:val="32"/>
          <w:szCs w:val="32"/>
        </w:rPr>
        <w:t>日核定「民國</w:t>
      </w:r>
      <w:r w:rsidRPr="00C422E6">
        <w:rPr>
          <w:rFonts w:ascii="標楷體" w:eastAsia="標楷體" w:hAnsi="標楷體" w:cs="標楷體"/>
          <w:sz w:val="32"/>
          <w:szCs w:val="32"/>
        </w:rPr>
        <w:t>101</w:t>
      </w:r>
      <w:r w:rsidRPr="00C422E6">
        <w:rPr>
          <w:rFonts w:ascii="標楷體" w:eastAsia="標楷體" w:hAnsi="標楷體" w:cs="標楷體" w:hint="eastAsia"/>
          <w:sz w:val="32"/>
          <w:szCs w:val="32"/>
        </w:rPr>
        <w:t>年至民國</w:t>
      </w:r>
      <w:r w:rsidRPr="00C422E6">
        <w:rPr>
          <w:rFonts w:ascii="標楷體" w:eastAsia="標楷體" w:hAnsi="標楷體" w:cs="標楷體"/>
          <w:sz w:val="32"/>
          <w:szCs w:val="32"/>
        </w:rPr>
        <w:t>104</w:t>
      </w:r>
      <w:r w:rsidRPr="00C422E6">
        <w:rPr>
          <w:rFonts w:ascii="標楷體" w:eastAsia="標楷體" w:hAnsi="標楷體" w:cs="標楷體" w:hint="eastAsia"/>
          <w:sz w:val="32"/>
          <w:szCs w:val="32"/>
        </w:rPr>
        <w:t>年整體住宅政策實施方案」，以「編製住宅價格指數並定期發布」做為具體措施之一。內政部營建署以全國各直轄市、縣（市）實價登錄不動產交易價格資料，計算出住宅價格指數，</w:t>
      </w:r>
      <w:r w:rsidRPr="00C422E6">
        <w:rPr>
          <w:rFonts w:ascii="標楷體" w:eastAsia="標楷體" w:hAnsi="標楷體" w:cs="標楷體" w:hint="eastAsia"/>
          <w:kern w:val="0"/>
          <w:sz w:val="32"/>
          <w:szCs w:val="32"/>
        </w:rPr>
        <w:t>提供住宅價格之變動趨勢資訊</w:t>
      </w:r>
      <w:r w:rsidRPr="00C422E6">
        <w:rPr>
          <w:rFonts w:ascii="標楷體" w:eastAsia="標楷體" w:hAnsi="標楷體" w:cs="標楷體" w:hint="eastAsia"/>
          <w:sz w:val="32"/>
          <w:szCs w:val="32"/>
        </w:rPr>
        <w:t>。目前編製完成全國及</w:t>
      </w:r>
      <w:r w:rsidRPr="00C422E6">
        <w:rPr>
          <w:rFonts w:ascii="標楷體" w:eastAsia="標楷體" w:hAnsi="標楷體" w:cs="標楷體"/>
          <w:sz w:val="32"/>
          <w:szCs w:val="32"/>
        </w:rPr>
        <w:t>6</w:t>
      </w:r>
      <w:r w:rsidRPr="00C422E6">
        <w:rPr>
          <w:rFonts w:ascii="標楷體" w:eastAsia="標楷體" w:hAnsi="標楷體" w:cs="標楷體" w:hint="eastAsia"/>
          <w:sz w:val="32"/>
          <w:szCs w:val="32"/>
        </w:rPr>
        <w:t>直轄市住宅價格指數，編製期間為</w:t>
      </w:r>
      <w:r w:rsidRPr="00C422E6">
        <w:rPr>
          <w:rFonts w:ascii="標楷體" w:eastAsia="標楷體" w:hAnsi="標楷體" w:cs="標楷體"/>
          <w:sz w:val="32"/>
          <w:szCs w:val="32"/>
        </w:rPr>
        <w:t>101</w:t>
      </w:r>
      <w:r w:rsidRPr="00C422E6">
        <w:rPr>
          <w:rFonts w:ascii="標楷體" w:eastAsia="標楷體" w:hAnsi="標楷體" w:cs="標楷體" w:hint="eastAsia"/>
          <w:sz w:val="32"/>
          <w:szCs w:val="32"/>
        </w:rPr>
        <w:t>年第</w:t>
      </w:r>
      <w:r w:rsidRPr="00C422E6">
        <w:rPr>
          <w:rFonts w:ascii="標楷體" w:eastAsia="標楷體" w:hAnsi="標楷體" w:cs="標楷體"/>
          <w:sz w:val="32"/>
          <w:szCs w:val="32"/>
        </w:rPr>
        <w:t>3</w:t>
      </w:r>
      <w:r w:rsidRPr="00C422E6">
        <w:rPr>
          <w:rFonts w:ascii="標楷體" w:eastAsia="標楷體" w:hAnsi="標楷體" w:cs="標楷體" w:hint="eastAsia"/>
          <w:sz w:val="32"/>
          <w:szCs w:val="32"/>
        </w:rPr>
        <w:t>季至</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年第</w:t>
      </w:r>
      <w:r>
        <w:rPr>
          <w:rFonts w:ascii="標楷體" w:eastAsia="標楷體" w:hAnsi="標楷體" w:cs="標楷體"/>
          <w:sz w:val="32"/>
          <w:szCs w:val="32"/>
        </w:rPr>
        <w:t>2</w:t>
      </w:r>
      <w:r w:rsidRPr="00C422E6">
        <w:rPr>
          <w:rFonts w:ascii="標楷體" w:eastAsia="標楷體" w:hAnsi="標楷體" w:cs="標楷體" w:hint="eastAsia"/>
          <w:sz w:val="32"/>
          <w:szCs w:val="32"/>
        </w:rPr>
        <w:t>季。</w:t>
      </w:r>
    </w:p>
    <w:p w:rsidR="00C42AA3" w:rsidRPr="00C422E6" w:rsidRDefault="00C42AA3" w:rsidP="00184E16">
      <w:pPr>
        <w:adjustRightInd w:val="0"/>
        <w:snapToGrid w:val="0"/>
        <w:spacing w:beforeLines="500" w:before="1200" w:line="240" w:lineRule="exact"/>
        <w:ind w:left="593" w:hangingChars="185" w:hanging="593"/>
        <w:jc w:val="both"/>
        <w:outlineLvl w:val="0"/>
        <w:rPr>
          <w:rFonts w:ascii="標楷體" w:eastAsia="標楷體" w:hAnsi="標楷體" w:cs="Times New Roman"/>
          <w:b/>
          <w:bCs/>
          <w:sz w:val="32"/>
          <w:szCs w:val="32"/>
        </w:rPr>
      </w:pPr>
      <w:bookmarkStart w:id="2" w:name="_Toc444595131"/>
      <w:r w:rsidRPr="00C422E6">
        <w:rPr>
          <w:rFonts w:ascii="標楷體" w:eastAsia="標楷體" w:hAnsi="標楷體" w:cs="標楷體" w:hint="eastAsia"/>
          <w:b/>
          <w:bCs/>
          <w:sz w:val="32"/>
          <w:szCs w:val="32"/>
        </w:rPr>
        <w:t>貳、住宅價格指數說明</w:t>
      </w:r>
      <w:bookmarkEnd w:id="2"/>
    </w:p>
    <w:p w:rsidR="00C42AA3" w:rsidRPr="00C422E6" w:rsidRDefault="00C42AA3" w:rsidP="00184E16">
      <w:pPr>
        <w:adjustRightInd w:val="0"/>
        <w:snapToGrid w:val="0"/>
        <w:spacing w:beforeLines="100" w:before="240" w:line="500" w:lineRule="atLeast"/>
        <w:ind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民國</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年第</w:t>
      </w:r>
      <w:r w:rsidRPr="00C422E6">
        <w:rPr>
          <w:rFonts w:ascii="標楷體" w:eastAsia="標楷體" w:hAnsi="標楷體" w:cs="標楷體"/>
          <w:sz w:val="32"/>
          <w:szCs w:val="32"/>
        </w:rPr>
        <w:t>2</w:t>
      </w:r>
      <w:r w:rsidRPr="00C422E6">
        <w:rPr>
          <w:rFonts w:ascii="標楷體" w:eastAsia="標楷體" w:hAnsi="標楷體" w:cs="標楷體" w:hint="eastAsia"/>
          <w:sz w:val="32"/>
          <w:szCs w:val="32"/>
        </w:rPr>
        <w:t>季之全國住宅價格指數為</w:t>
      </w:r>
      <w:r w:rsidRPr="00C422E6">
        <w:rPr>
          <w:rFonts w:ascii="標楷體" w:eastAsia="標楷體" w:hAnsi="標楷體" w:cs="標楷體"/>
          <w:sz w:val="32"/>
          <w:szCs w:val="32"/>
        </w:rPr>
        <w:t>115.01</w:t>
      </w:r>
      <w:r w:rsidRPr="00C422E6">
        <w:rPr>
          <w:rFonts w:ascii="標楷體" w:eastAsia="標楷體" w:hAnsi="標楷體" w:cs="標楷體" w:hint="eastAsia"/>
          <w:sz w:val="32"/>
          <w:szCs w:val="32"/>
        </w:rPr>
        <w:t>，較上季上漲</w:t>
      </w:r>
      <w:r w:rsidRPr="00C422E6">
        <w:rPr>
          <w:rFonts w:ascii="標楷體" w:eastAsia="標楷體" w:hAnsi="標楷體" w:cs="標楷體"/>
          <w:sz w:val="32"/>
          <w:szCs w:val="32"/>
        </w:rPr>
        <w:t>1.17%</w:t>
      </w:r>
      <w:r w:rsidRPr="00C422E6">
        <w:rPr>
          <w:rFonts w:ascii="標楷體" w:eastAsia="標楷體" w:hAnsi="標楷體" w:cs="標楷體" w:hint="eastAsia"/>
          <w:sz w:val="32"/>
          <w:szCs w:val="32"/>
        </w:rPr>
        <w:t>，較去年同季上漲</w:t>
      </w:r>
      <w:r w:rsidRPr="00C422E6">
        <w:rPr>
          <w:rFonts w:ascii="標楷體" w:eastAsia="標楷體" w:hAnsi="標楷體" w:cs="標楷體"/>
          <w:sz w:val="32"/>
          <w:szCs w:val="32"/>
        </w:rPr>
        <w:t>0.46%</w:t>
      </w:r>
      <w:r w:rsidRPr="00C422E6">
        <w:rPr>
          <w:rFonts w:ascii="標楷體" w:eastAsia="標楷體" w:hAnsi="標楷體" w:cs="標楷體" w:hint="eastAsia"/>
          <w:sz w:val="32"/>
          <w:szCs w:val="32"/>
        </w:rPr>
        <w:t>。在主要都會區方面，臺北市本季住宅價格指數為</w:t>
      </w:r>
      <w:r w:rsidRPr="00C422E6">
        <w:rPr>
          <w:rFonts w:ascii="標楷體" w:eastAsia="標楷體" w:hAnsi="標楷體" w:cs="標楷體"/>
          <w:sz w:val="32"/>
          <w:szCs w:val="32"/>
        </w:rPr>
        <w:t>100.41</w:t>
      </w:r>
      <w:r w:rsidRPr="00C422E6">
        <w:rPr>
          <w:rFonts w:ascii="標楷體" w:eastAsia="標楷體" w:hAnsi="標楷體" w:cs="標楷體" w:hint="eastAsia"/>
          <w:sz w:val="32"/>
          <w:szCs w:val="32"/>
        </w:rPr>
        <w:t>，較上季上漲</w:t>
      </w:r>
      <w:r w:rsidRPr="00C422E6">
        <w:rPr>
          <w:rFonts w:ascii="標楷體" w:eastAsia="標楷體" w:hAnsi="標楷體" w:cs="標楷體"/>
          <w:sz w:val="32"/>
          <w:szCs w:val="32"/>
        </w:rPr>
        <w:t>0.2%</w:t>
      </w:r>
      <w:r w:rsidRPr="00C422E6">
        <w:rPr>
          <w:rFonts w:ascii="標楷體" w:eastAsia="標楷體" w:hAnsi="標楷體" w:cs="標楷體" w:hint="eastAsia"/>
          <w:sz w:val="32"/>
          <w:szCs w:val="32"/>
        </w:rPr>
        <w:t>；新北市指數為</w:t>
      </w:r>
      <w:r w:rsidRPr="00C422E6">
        <w:rPr>
          <w:rFonts w:ascii="標楷體" w:eastAsia="標楷體" w:hAnsi="標楷體" w:cs="標楷體"/>
          <w:sz w:val="32"/>
          <w:szCs w:val="32"/>
        </w:rPr>
        <w:t>107.04</w:t>
      </w:r>
      <w:r w:rsidRPr="00C422E6">
        <w:rPr>
          <w:rFonts w:ascii="標楷體" w:eastAsia="標楷體" w:hAnsi="標楷體" w:cs="標楷體" w:hint="eastAsia"/>
          <w:sz w:val="32"/>
          <w:szCs w:val="32"/>
        </w:rPr>
        <w:t>，較上季下跌</w:t>
      </w:r>
      <w:r w:rsidRPr="00C422E6">
        <w:rPr>
          <w:rFonts w:ascii="標楷體" w:eastAsia="標楷體" w:hAnsi="標楷體" w:cs="標楷體"/>
          <w:sz w:val="32"/>
          <w:szCs w:val="32"/>
        </w:rPr>
        <w:t>0.52%</w:t>
      </w:r>
      <w:r w:rsidRPr="00C422E6">
        <w:rPr>
          <w:rFonts w:ascii="標楷體" w:eastAsia="標楷體" w:hAnsi="標楷體" w:cs="標楷體" w:hint="eastAsia"/>
          <w:sz w:val="32"/>
          <w:szCs w:val="32"/>
        </w:rPr>
        <w:t>；桃園市指數為</w:t>
      </w:r>
      <w:r w:rsidRPr="00C422E6">
        <w:rPr>
          <w:rFonts w:ascii="標楷體" w:eastAsia="標楷體" w:hAnsi="標楷體" w:cs="標楷體"/>
          <w:sz w:val="32"/>
          <w:szCs w:val="32"/>
        </w:rPr>
        <w:t>112.26</w:t>
      </w:r>
      <w:r w:rsidRPr="00C422E6">
        <w:rPr>
          <w:rFonts w:ascii="標楷體" w:eastAsia="標楷體" w:hAnsi="標楷體" w:cs="標楷體" w:hint="eastAsia"/>
          <w:sz w:val="32"/>
          <w:szCs w:val="32"/>
        </w:rPr>
        <w:t>，較上季下跌</w:t>
      </w:r>
      <w:r w:rsidRPr="00C422E6">
        <w:rPr>
          <w:rFonts w:ascii="標楷體" w:eastAsia="標楷體" w:hAnsi="標楷體" w:cs="標楷體"/>
          <w:sz w:val="32"/>
          <w:szCs w:val="32"/>
        </w:rPr>
        <w:t>2.16%</w:t>
      </w:r>
      <w:r w:rsidRPr="00C422E6">
        <w:rPr>
          <w:rFonts w:ascii="標楷體" w:eastAsia="標楷體" w:hAnsi="標楷體" w:cs="標楷體" w:hint="eastAsia"/>
          <w:sz w:val="32"/>
          <w:szCs w:val="32"/>
        </w:rPr>
        <w:t>；臺中市指數為</w:t>
      </w:r>
      <w:r w:rsidRPr="00C422E6">
        <w:rPr>
          <w:rFonts w:ascii="標楷體" w:eastAsia="標楷體" w:hAnsi="標楷體" w:cs="標楷體"/>
          <w:sz w:val="32"/>
          <w:szCs w:val="32"/>
        </w:rPr>
        <w:t>123.07</w:t>
      </w:r>
      <w:r w:rsidRPr="00C422E6">
        <w:rPr>
          <w:rFonts w:ascii="標楷體" w:eastAsia="標楷體" w:hAnsi="標楷體" w:cs="標楷體" w:hint="eastAsia"/>
          <w:sz w:val="32"/>
          <w:szCs w:val="32"/>
        </w:rPr>
        <w:t>，較上季上漲</w:t>
      </w:r>
      <w:r w:rsidRPr="00C422E6">
        <w:rPr>
          <w:rFonts w:ascii="標楷體" w:eastAsia="標楷體" w:hAnsi="標楷體" w:cs="標楷體"/>
          <w:sz w:val="32"/>
          <w:szCs w:val="32"/>
        </w:rPr>
        <w:t>2.01%</w:t>
      </w:r>
      <w:r w:rsidRPr="00C422E6">
        <w:rPr>
          <w:rFonts w:ascii="標楷體" w:eastAsia="標楷體" w:hAnsi="標楷體" w:cs="標楷體" w:hint="eastAsia"/>
          <w:sz w:val="32"/>
          <w:szCs w:val="32"/>
        </w:rPr>
        <w:t>；臺南市指數為</w:t>
      </w:r>
      <w:r w:rsidRPr="00C422E6">
        <w:rPr>
          <w:rFonts w:ascii="標楷體" w:eastAsia="標楷體" w:hAnsi="標楷體" w:cs="標楷體"/>
          <w:sz w:val="32"/>
          <w:szCs w:val="32"/>
        </w:rPr>
        <w:t>121.19</w:t>
      </w:r>
      <w:r w:rsidRPr="00C422E6">
        <w:rPr>
          <w:rFonts w:ascii="標楷體" w:eastAsia="標楷體" w:hAnsi="標楷體" w:cs="標楷體" w:hint="eastAsia"/>
          <w:sz w:val="32"/>
          <w:szCs w:val="32"/>
        </w:rPr>
        <w:t>，較上季上漲</w:t>
      </w:r>
      <w:r w:rsidRPr="00C422E6">
        <w:rPr>
          <w:rFonts w:ascii="標楷體" w:eastAsia="標楷體" w:hAnsi="標楷體" w:cs="標楷體"/>
          <w:sz w:val="32"/>
          <w:szCs w:val="32"/>
        </w:rPr>
        <w:t>1.64%</w:t>
      </w:r>
      <w:r w:rsidRPr="00C422E6">
        <w:rPr>
          <w:rFonts w:ascii="標楷體" w:eastAsia="標楷體" w:hAnsi="標楷體" w:cs="標楷體" w:hint="eastAsia"/>
          <w:sz w:val="32"/>
          <w:szCs w:val="32"/>
        </w:rPr>
        <w:t>；高雄市指數為</w:t>
      </w:r>
      <w:r w:rsidRPr="00C422E6">
        <w:rPr>
          <w:rFonts w:ascii="標楷體" w:eastAsia="標楷體" w:hAnsi="標楷體" w:cs="標楷體"/>
          <w:sz w:val="32"/>
          <w:szCs w:val="32"/>
        </w:rPr>
        <w:t>121.34</w:t>
      </w:r>
      <w:r w:rsidRPr="00C422E6">
        <w:rPr>
          <w:rFonts w:ascii="標楷體" w:eastAsia="標楷體" w:hAnsi="標楷體" w:cs="標楷體" w:hint="eastAsia"/>
          <w:sz w:val="32"/>
          <w:szCs w:val="32"/>
        </w:rPr>
        <w:t>，較上季上漲</w:t>
      </w:r>
      <w:r w:rsidRPr="00C422E6">
        <w:rPr>
          <w:rFonts w:ascii="標楷體" w:eastAsia="標楷體" w:hAnsi="標楷體" w:cs="標楷體"/>
          <w:sz w:val="32"/>
          <w:szCs w:val="32"/>
        </w:rPr>
        <w:t>1.8%</w:t>
      </w:r>
      <w:r w:rsidRPr="00C422E6">
        <w:rPr>
          <w:rFonts w:ascii="標楷體" w:eastAsia="標楷體" w:hAnsi="標楷體" w:cs="標楷體" w:hint="eastAsia"/>
          <w:sz w:val="32"/>
          <w:szCs w:val="32"/>
        </w:rPr>
        <w:t>。</w:t>
      </w:r>
    </w:p>
    <w:p w:rsidR="00C42AA3" w:rsidRPr="00C422E6" w:rsidRDefault="00C42AA3" w:rsidP="00184E16">
      <w:pPr>
        <w:adjustRightInd w:val="0"/>
        <w:snapToGrid w:val="0"/>
        <w:spacing w:beforeLines="100" w:before="240" w:line="500" w:lineRule="atLeast"/>
        <w:ind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綜合而言，本季全國及六都之住宅價格指數多數出現</w:t>
      </w:r>
      <w:r>
        <w:rPr>
          <w:rFonts w:ascii="標楷體" w:eastAsia="標楷體" w:hAnsi="標楷體" w:cs="標楷體" w:hint="eastAsia"/>
          <w:sz w:val="32"/>
          <w:szCs w:val="32"/>
        </w:rPr>
        <w:t>相對上</w:t>
      </w:r>
      <w:r>
        <w:rPr>
          <w:rFonts w:ascii="標楷體" w:eastAsia="標楷體" w:hAnsi="標楷體" w:cs="標楷體" w:hint="eastAsia"/>
          <w:sz w:val="32"/>
          <w:szCs w:val="32"/>
        </w:rPr>
        <w:lastRenderedPageBreak/>
        <w:t>季</w:t>
      </w:r>
      <w:r w:rsidRPr="00C422E6">
        <w:rPr>
          <w:rFonts w:ascii="標楷體" w:eastAsia="標楷體" w:hAnsi="標楷體" w:cs="標楷體" w:hint="eastAsia"/>
          <w:sz w:val="32"/>
          <w:szCs w:val="32"/>
        </w:rPr>
        <w:t>上漲跡象，但新北市及桃園市指數仍呈現下跌；六都中以臺中市指數較上季上漲</w:t>
      </w:r>
      <w:r w:rsidRPr="00C422E6">
        <w:rPr>
          <w:rFonts w:ascii="標楷體" w:eastAsia="標楷體" w:hAnsi="標楷體" w:cs="標楷體"/>
          <w:sz w:val="32"/>
          <w:szCs w:val="32"/>
        </w:rPr>
        <w:t>2.01%</w:t>
      </w:r>
      <w:r w:rsidRPr="00C422E6">
        <w:rPr>
          <w:rFonts w:ascii="標楷體" w:eastAsia="標楷體" w:hAnsi="標楷體" w:cs="標楷體" w:hint="eastAsia"/>
          <w:sz w:val="32"/>
          <w:szCs w:val="32"/>
        </w:rPr>
        <w:t>較多，綜合來看，本季雖全國及多個都會區出現房價回升，但仍未超過前波價格高點，加上今年第一季交易量受房地合一稅影響而大幅減少，第二季的交易量迅速回穩後，第二季的價格上漲可視為交易量增加及房價經歷過去一年半下跌的回穩格局。</w:t>
      </w:r>
    </w:p>
    <w:p w:rsidR="00C42AA3" w:rsidRPr="00C422E6" w:rsidRDefault="00C42AA3" w:rsidP="00184E16">
      <w:pPr>
        <w:adjustRightInd w:val="0"/>
        <w:snapToGrid w:val="0"/>
        <w:spacing w:beforeLines="100" w:before="240" w:line="500" w:lineRule="atLeast"/>
        <w:ind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從趨勢面來看，第二季住宅價格指數之上漲縣市仍未突破前波高點，新北市及桃園市的住宅價格仍維持下滑趨勢，房價向下盤跌的格局仍然不變，過去一年半來的房價修正，也以北台灣</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北北桃都會區</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的下滑態勢較為明顯，雖然中南部都會區房價仍在盤整，但房價修正的趨勢已有從臺北市向外擴大的跡象，值得持續注意。</w:t>
      </w:r>
    </w:p>
    <w:p w:rsidR="00C42AA3" w:rsidRPr="00C422E6" w:rsidRDefault="00C42AA3" w:rsidP="00184E16">
      <w:pPr>
        <w:adjustRightInd w:val="0"/>
        <w:snapToGrid w:val="0"/>
        <w:spacing w:beforeLines="100" w:before="240" w:line="500" w:lineRule="atLeast"/>
        <w:ind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就總體指標來看，我國國民所得近幾年快速滑落，依主計總處統計</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年第</w:t>
      </w:r>
      <w:r w:rsidRPr="00C422E6">
        <w:rPr>
          <w:rFonts w:ascii="標楷體" w:eastAsia="標楷體" w:hAnsi="標楷體" w:cs="標楷體"/>
          <w:sz w:val="32"/>
          <w:szCs w:val="32"/>
        </w:rPr>
        <w:t>3</w:t>
      </w:r>
      <w:r w:rsidRPr="00C422E6">
        <w:rPr>
          <w:rFonts w:ascii="標楷體" w:eastAsia="標楷體" w:hAnsi="標楷體" w:cs="標楷體" w:hint="eastAsia"/>
          <w:sz w:val="32"/>
          <w:szCs w:val="32"/>
        </w:rPr>
        <w:t>季之經濟成長率為</w:t>
      </w:r>
      <w:r w:rsidRPr="00C422E6">
        <w:rPr>
          <w:rFonts w:ascii="標楷體" w:eastAsia="標楷體" w:hAnsi="標楷體" w:cs="標楷體"/>
          <w:sz w:val="32"/>
          <w:szCs w:val="32"/>
        </w:rPr>
        <w:t>2.06%</w:t>
      </w:r>
      <w:r w:rsidRPr="00C422E6">
        <w:rPr>
          <w:rFonts w:ascii="標楷體" w:eastAsia="標楷體" w:hAnsi="標楷體" w:cs="標楷體" w:hint="eastAsia"/>
          <w:sz w:val="32"/>
          <w:szCs w:val="32"/>
        </w:rPr>
        <w:t>，展望</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年及</w:t>
      </w:r>
      <w:r w:rsidRPr="00C422E6">
        <w:rPr>
          <w:rFonts w:ascii="標楷體" w:eastAsia="標楷體" w:hAnsi="標楷體" w:cs="標楷體"/>
          <w:sz w:val="32"/>
          <w:szCs w:val="32"/>
        </w:rPr>
        <w:t>106</w:t>
      </w:r>
      <w:r w:rsidRPr="00C422E6">
        <w:rPr>
          <w:rFonts w:ascii="標楷體" w:eastAsia="標楷體" w:hAnsi="標楷體" w:cs="標楷體" w:hint="eastAsia"/>
          <w:sz w:val="32"/>
          <w:szCs w:val="32"/>
        </w:rPr>
        <w:t>年的全年經濟成長率為</w:t>
      </w:r>
      <w:r w:rsidRPr="00C422E6">
        <w:rPr>
          <w:rFonts w:ascii="標楷體" w:eastAsia="標楷體" w:hAnsi="標楷體" w:cs="標楷體"/>
          <w:sz w:val="32"/>
          <w:szCs w:val="32"/>
        </w:rPr>
        <w:t>1.22%</w:t>
      </w:r>
      <w:r w:rsidRPr="00C422E6">
        <w:rPr>
          <w:rFonts w:ascii="標楷體" w:eastAsia="標楷體" w:hAnsi="標楷體" w:cs="標楷體" w:hint="eastAsia"/>
          <w:sz w:val="32"/>
          <w:szCs w:val="32"/>
        </w:rPr>
        <w:t>及</w:t>
      </w:r>
      <w:r w:rsidRPr="00C422E6">
        <w:rPr>
          <w:rFonts w:ascii="標楷體" w:eastAsia="標楷體" w:hAnsi="標楷體" w:cs="標楷體"/>
          <w:sz w:val="32"/>
          <w:szCs w:val="32"/>
        </w:rPr>
        <w:t>1.88%</w:t>
      </w:r>
      <w:r w:rsidRPr="00C422E6">
        <w:rPr>
          <w:rFonts w:ascii="標楷體" w:eastAsia="標楷體" w:hAnsi="標楷體" w:cs="標楷體" w:hint="eastAsia"/>
          <w:sz w:val="32"/>
          <w:szCs w:val="32"/>
        </w:rPr>
        <w:t>，呈現緩慢的復甦格局；從購屋負擔來看，</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年第一季的全國房價年所得比為</w:t>
      </w:r>
      <w:r w:rsidRPr="00C422E6">
        <w:rPr>
          <w:rFonts w:ascii="標楷體" w:eastAsia="標楷體" w:hAnsi="標楷體" w:cs="標楷體"/>
          <w:sz w:val="32"/>
          <w:szCs w:val="32"/>
        </w:rPr>
        <w:t>8.46</w:t>
      </w:r>
      <w:r w:rsidRPr="00C422E6">
        <w:rPr>
          <w:rFonts w:ascii="標楷體" w:eastAsia="標楷體" w:hAnsi="標楷體" w:cs="標楷體" w:hint="eastAsia"/>
          <w:sz w:val="32"/>
          <w:szCs w:val="32"/>
        </w:rPr>
        <w:t>，臺北市則為</w:t>
      </w:r>
      <w:r w:rsidRPr="00C422E6">
        <w:rPr>
          <w:rFonts w:ascii="標楷體" w:eastAsia="標楷體" w:hAnsi="標楷體" w:cs="標楷體"/>
          <w:sz w:val="32"/>
          <w:szCs w:val="32"/>
        </w:rPr>
        <w:t>14.9</w:t>
      </w:r>
      <w:r w:rsidRPr="00C422E6">
        <w:rPr>
          <w:rFonts w:ascii="標楷體" w:eastAsia="標楷體" w:hAnsi="標楷體" w:cs="標楷體" w:hint="eastAsia"/>
          <w:sz w:val="32"/>
          <w:szCs w:val="32"/>
        </w:rPr>
        <w:t>，均有微幅下降跡象，顯示消費者購屋能力雖然略有增加，但加以所得增長有限，綜合而言，購屋負擔仍然偏高；在交易量方面，</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年前</w:t>
      </w:r>
      <w:r w:rsidRPr="00C422E6">
        <w:rPr>
          <w:rFonts w:ascii="標楷體" w:eastAsia="標楷體" w:hAnsi="標楷體" w:cs="標楷體"/>
          <w:sz w:val="32"/>
          <w:szCs w:val="32"/>
        </w:rPr>
        <w:t>9</w:t>
      </w:r>
      <w:r w:rsidRPr="00C422E6">
        <w:rPr>
          <w:rFonts w:ascii="標楷體" w:eastAsia="標楷體" w:hAnsi="標楷體" w:cs="標楷體" w:hint="eastAsia"/>
          <w:sz w:val="32"/>
          <w:szCs w:val="32"/>
        </w:rPr>
        <w:t>個月的全國建物交易量較</w:t>
      </w:r>
      <w:r w:rsidRPr="00C422E6">
        <w:rPr>
          <w:rFonts w:ascii="標楷體" w:eastAsia="標楷體" w:hAnsi="標楷體" w:cs="標楷體"/>
          <w:sz w:val="32"/>
          <w:szCs w:val="32"/>
        </w:rPr>
        <w:t>104</w:t>
      </w:r>
      <w:r w:rsidRPr="00C422E6">
        <w:rPr>
          <w:rFonts w:ascii="標楷體" w:eastAsia="標楷體" w:hAnsi="標楷體" w:cs="標楷體" w:hint="eastAsia"/>
          <w:sz w:val="32"/>
          <w:szCs w:val="32"/>
        </w:rPr>
        <w:t>年同期大幅萎縮了近</w:t>
      </w:r>
      <w:r w:rsidRPr="00C422E6">
        <w:rPr>
          <w:rFonts w:ascii="標楷體" w:eastAsia="標楷體" w:hAnsi="標楷體" w:cs="標楷體"/>
          <w:sz w:val="32"/>
          <w:szCs w:val="32"/>
        </w:rPr>
        <w:t>11.7%</w:t>
      </w:r>
      <w:r w:rsidRPr="00C422E6">
        <w:rPr>
          <w:rFonts w:ascii="標楷體" w:eastAsia="標楷體" w:hAnsi="標楷體" w:cs="標楷體" w:hint="eastAsia"/>
          <w:sz w:val="32"/>
          <w:szCs w:val="32"/>
        </w:rPr>
        <w:t>，如不計第一季受房地合一稅效應影響，僅</w:t>
      </w:r>
      <w:r w:rsidRPr="00C422E6">
        <w:rPr>
          <w:rFonts w:ascii="標楷體" w:eastAsia="標楷體" w:hAnsi="標楷體" w:cs="標楷體" w:hint="eastAsia"/>
          <w:sz w:val="32"/>
          <w:szCs w:val="32"/>
        </w:rPr>
        <w:lastRenderedPageBreak/>
        <w:t>以</w:t>
      </w:r>
      <w:r w:rsidRPr="00C422E6">
        <w:rPr>
          <w:rFonts w:ascii="標楷體" w:eastAsia="標楷體" w:hAnsi="標楷體" w:cs="標楷體"/>
          <w:sz w:val="32"/>
          <w:szCs w:val="32"/>
        </w:rPr>
        <w:t>4~9</w:t>
      </w:r>
      <w:r w:rsidRPr="00C422E6">
        <w:rPr>
          <w:rFonts w:ascii="標楷體" w:eastAsia="標楷體" w:hAnsi="標楷體" w:cs="標楷體" w:hint="eastAsia"/>
          <w:sz w:val="32"/>
          <w:szCs w:val="32"/>
        </w:rPr>
        <w:t>月計算則較前一年度同期下滑</w:t>
      </w:r>
      <w:r w:rsidRPr="00C422E6">
        <w:rPr>
          <w:rFonts w:ascii="標楷體" w:eastAsia="標楷體" w:hAnsi="標楷體" w:cs="標楷體"/>
          <w:sz w:val="32"/>
          <w:szCs w:val="32"/>
        </w:rPr>
        <w:t>2.2%</w:t>
      </w:r>
      <w:r w:rsidRPr="00C422E6">
        <w:rPr>
          <w:rFonts w:ascii="標楷體" w:eastAsia="標楷體" w:hAnsi="標楷體" w:cs="標楷體" w:hint="eastAsia"/>
          <w:sz w:val="32"/>
          <w:szCs w:val="32"/>
        </w:rPr>
        <w:t>，據此推估</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年的全年交易量將落於</w:t>
      </w:r>
      <w:r w:rsidRPr="00C422E6">
        <w:rPr>
          <w:rFonts w:ascii="標楷體" w:eastAsia="標楷體" w:hAnsi="標楷體" w:cs="標楷體"/>
          <w:sz w:val="32"/>
          <w:szCs w:val="32"/>
        </w:rPr>
        <w:t>25.8~28.6</w:t>
      </w:r>
      <w:r w:rsidRPr="00C422E6">
        <w:rPr>
          <w:rFonts w:ascii="標楷體" w:eastAsia="標楷體" w:hAnsi="標楷體" w:cs="標楷體" w:hint="eastAsia"/>
          <w:sz w:val="32"/>
          <w:szCs w:val="32"/>
        </w:rPr>
        <w:t>萬棟間，這已是民國</w:t>
      </w:r>
      <w:r w:rsidRPr="00C422E6">
        <w:rPr>
          <w:rFonts w:ascii="標楷體" w:eastAsia="標楷體" w:hAnsi="標楷體" w:cs="標楷體"/>
          <w:sz w:val="32"/>
          <w:szCs w:val="32"/>
        </w:rPr>
        <w:t>80</w:t>
      </w:r>
      <w:r w:rsidRPr="00C422E6">
        <w:rPr>
          <w:rFonts w:ascii="標楷體" w:eastAsia="標楷體" w:hAnsi="標楷體" w:cs="標楷體" w:hint="eastAsia"/>
          <w:sz w:val="32"/>
          <w:szCs w:val="32"/>
        </w:rPr>
        <w:t>年以來的最低或次低量，交易量的快速萎縮可能會促使房價持續盤跌。</w:t>
      </w:r>
    </w:p>
    <w:p w:rsidR="00C42AA3" w:rsidRPr="00C422E6" w:rsidRDefault="00C42AA3" w:rsidP="00184E16">
      <w:pPr>
        <w:adjustRightInd w:val="0"/>
        <w:snapToGrid w:val="0"/>
        <w:spacing w:beforeLines="100" w:before="240" w:line="500" w:lineRule="atLeast"/>
        <w:ind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就金融面來看，依中央銀行統計，五大銀行</w:t>
      </w:r>
      <w:r>
        <w:rPr>
          <w:rFonts w:ascii="標楷體" w:eastAsia="標楷體" w:hAnsi="標楷體" w:cs="標楷體" w:hint="eastAsia"/>
          <w:sz w:val="32"/>
          <w:szCs w:val="32"/>
        </w:rPr>
        <w:t>（</w:t>
      </w:r>
      <w:r w:rsidRPr="00C422E6">
        <w:rPr>
          <w:rFonts w:ascii="標楷體" w:eastAsia="標楷體" w:hAnsi="標楷體" w:cs="標楷體" w:hint="eastAsia"/>
          <w:sz w:val="32"/>
          <w:szCs w:val="32"/>
        </w:rPr>
        <w:t>臺銀、合庫銀、土銀、華銀、一銀</w:t>
      </w:r>
      <w:r>
        <w:rPr>
          <w:rFonts w:ascii="標楷體" w:eastAsia="標楷體" w:hAnsi="標楷體" w:cs="標楷體" w:hint="eastAsia"/>
          <w:sz w:val="32"/>
          <w:szCs w:val="32"/>
        </w:rPr>
        <w:t>）</w:t>
      </w:r>
      <w:r w:rsidRPr="00C422E6">
        <w:rPr>
          <w:rFonts w:ascii="標楷體" w:eastAsia="標楷體" w:hAnsi="標楷體" w:cs="標楷體" w:hint="eastAsia"/>
          <w:sz w:val="32"/>
          <w:szCs w:val="32"/>
        </w:rPr>
        <w:t>新承作房貸利率在</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w:t>
      </w:r>
      <w:r w:rsidRPr="00C422E6">
        <w:rPr>
          <w:rFonts w:ascii="標楷體" w:eastAsia="標楷體" w:hAnsi="標楷體" w:cs="標楷體"/>
          <w:sz w:val="32"/>
          <w:szCs w:val="32"/>
        </w:rPr>
        <w:t>9</w:t>
      </w:r>
      <w:r w:rsidRPr="00C422E6">
        <w:rPr>
          <w:rFonts w:ascii="標楷體" w:eastAsia="標楷體" w:hAnsi="標楷體" w:cs="標楷體" w:hint="eastAsia"/>
          <w:sz w:val="32"/>
          <w:szCs w:val="32"/>
        </w:rPr>
        <w:t>月已來到</w:t>
      </w:r>
      <w:r w:rsidRPr="00C422E6">
        <w:rPr>
          <w:rFonts w:ascii="標楷體" w:eastAsia="標楷體" w:hAnsi="標楷體" w:cs="標楷體"/>
          <w:sz w:val="32"/>
          <w:szCs w:val="32"/>
        </w:rPr>
        <w:t>1.669</w:t>
      </w:r>
      <w:r w:rsidRPr="00C422E6">
        <w:rPr>
          <w:rFonts w:ascii="標楷體" w:eastAsia="標楷體" w:hAnsi="標楷體" w:cs="標楷體" w:hint="eastAsia"/>
          <w:sz w:val="32"/>
          <w:szCs w:val="32"/>
        </w:rPr>
        <w:t>，距離</w:t>
      </w:r>
      <w:r w:rsidRPr="00C422E6">
        <w:rPr>
          <w:rFonts w:ascii="標楷體" w:eastAsia="標楷體" w:hAnsi="標楷體" w:cs="標楷體"/>
          <w:sz w:val="32"/>
          <w:szCs w:val="32"/>
        </w:rPr>
        <w:t>99</w:t>
      </w:r>
      <w:r w:rsidRPr="00C422E6">
        <w:rPr>
          <w:rFonts w:ascii="標楷體" w:eastAsia="標楷體" w:hAnsi="標楷體" w:cs="標楷體" w:hint="eastAsia"/>
          <w:sz w:val="32"/>
          <w:szCs w:val="32"/>
        </w:rPr>
        <w:t>年</w:t>
      </w:r>
      <w:r w:rsidRPr="00C422E6">
        <w:rPr>
          <w:rFonts w:ascii="標楷體" w:eastAsia="標楷體" w:hAnsi="標楷體" w:cs="標楷體"/>
          <w:sz w:val="32"/>
          <w:szCs w:val="32"/>
        </w:rPr>
        <w:t>5</w:t>
      </w:r>
      <w:r w:rsidRPr="00C422E6">
        <w:rPr>
          <w:rFonts w:ascii="標楷體" w:eastAsia="標楷體" w:hAnsi="標楷體" w:cs="標楷體" w:hint="eastAsia"/>
          <w:sz w:val="32"/>
          <w:szCs w:val="32"/>
        </w:rPr>
        <w:t>月的</w:t>
      </w:r>
      <w:r w:rsidRPr="00C422E6">
        <w:rPr>
          <w:rFonts w:ascii="標楷體" w:eastAsia="標楷體" w:hAnsi="標楷體" w:cs="標楷體"/>
          <w:sz w:val="32"/>
          <w:szCs w:val="32"/>
        </w:rPr>
        <w:t>1.616</w:t>
      </w:r>
      <w:r w:rsidRPr="00C422E6">
        <w:rPr>
          <w:rFonts w:ascii="標楷體" w:eastAsia="標楷體" w:hAnsi="標楷體" w:cs="標楷體" w:hint="eastAsia"/>
          <w:sz w:val="32"/>
          <w:szCs w:val="32"/>
        </w:rPr>
        <w:t>歷史低點已經不遠，而貨幣供給</w:t>
      </w:r>
      <w:r w:rsidRPr="00C422E6">
        <w:rPr>
          <w:rFonts w:ascii="標楷體" w:eastAsia="標楷體" w:hAnsi="標楷體" w:cs="標楷體"/>
          <w:sz w:val="32"/>
          <w:szCs w:val="32"/>
        </w:rPr>
        <w:t>M1b</w:t>
      </w:r>
      <w:r w:rsidRPr="00C422E6">
        <w:rPr>
          <w:rFonts w:ascii="標楷體" w:eastAsia="標楷體" w:hAnsi="標楷體" w:cs="標楷體" w:hint="eastAsia"/>
          <w:sz w:val="32"/>
          <w:szCs w:val="32"/>
        </w:rPr>
        <w:t>在</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w:t>
      </w:r>
      <w:r w:rsidRPr="00C422E6">
        <w:rPr>
          <w:rFonts w:ascii="標楷體" w:eastAsia="標楷體" w:hAnsi="標楷體" w:cs="標楷體"/>
          <w:sz w:val="32"/>
          <w:szCs w:val="32"/>
        </w:rPr>
        <w:t>8</w:t>
      </w:r>
      <w:r w:rsidRPr="00C422E6">
        <w:rPr>
          <w:rFonts w:ascii="標楷體" w:eastAsia="標楷體" w:hAnsi="標楷體" w:cs="標楷體" w:hint="eastAsia"/>
          <w:sz w:val="32"/>
          <w:szCs w:val="32"/>
        </w:rPr>
        <w:t>月也達到</w:t>
      </w:r>
      <w:r w:rsidRPr="00C422E6">
        <w:rPr>
          <w:rFonts w:ascii="標楷體" w:eastAsia="標楷體" w:hAnsi="標楷體" w:cs="標楷體"/>
          <w:sz w:val="32"/>
          <w:szCs w:val="32"/>
        </w:rPr>
        <w:t>15.8</w:t>
      </w:r>
      <w:r w:rsidRPr="00C422E6">
        <w:rPr>
          <w:rFonts w:ascii="標楷體" w:eastAsia="標楷體" w:hAnsi="標楷體" w:cs="標楷體" w:hint="eastAsia"/>
          <w:sz w:val="32"/>
          <w:szCs w:val="32"/>
        </w:rPr>
        <w:t>兆的歷史新高，資金成本如此之低，在刺激景氣的同時，可能會引導資金流向房市；但另一方面，依金融聯合徵信中心統計，</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年第二季全國銀行平均房貸核貸成數約</w:t>
      </w:r>
      <w:r w:rsidRPr="00C422E6">
        <w:rPr>
          <w:rFonts w:ascii="標楷體" w:eastAsia="標楷體" w:hAnsi="標楷體" w:cs="標楷體"/>
          <w:sz w:val="32"/>
          <w:szCs w:val="32"/>
        </w:rPr>
        <w:t>69.1%</w:t>
      </w:r>
      <w:r w:rsidRPr="00C422E6">
        <w:rPr>
          <w:rFonts w:ascii="標楷體" w:eastAsia="標楷體" w:hAnsi="標楷體" w:cs="標楷體" w:hint="eastAsia"/>
          <w:sz w:val="32"/>
          <w:szCs w:val="32"/>
        </w:rPr>
        <w:t>，檢視過去三年也未超過七成，顯示銀行體系對房貸的風險管理仍相當嚴格，因此，縱使資金成本已相當低，但在房貸信用的控管之下，加上當前購屋負擔仍高，房市應不致產生另一波泡沫；而綜合來看，這也將拉長房價的整理期。</w:t>
      </w:r>
    </w:p>
    <w:p w:rsidR="00C42AA3" w:rsidRPr="00C422E6" w:rsidRDefault="00C42AA3" w:rsidP="00184E16">
      <w:pPr>
        <w:adjustRightInd w:val="0"/>
        <w:snapToGrid w:val="0"/>
        <w:spacing w:beforeLines="100" w:before="240" w:line="500" w:lineRule="atLeast"/>
        <w:ind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從政策面來看，自今年</w:t>
      </w:r>
      <w:r w:rsidRPr="00C422E6">
        <w:rPr>
          <w:rFonts w:ascii="標楷體" w:eastAsia="標楷體" w:hAnsi="標楷體" w:cs="標楷體"/>
          <w:sz w:val="32"/>
          <w:szCs w:val="32"/>
        </w:rPr>
        <w:t>(105</w:t>
      </w:r>
      <w:r w:rsidRPr="00C422E6">
        <w:rPr>
          <w:rFonts w:ascii="標楷體" w:eastAsia="標楷體" w:hAnsi="標楷體" w:cs="標楷體" w:hint="eastAsia"/>
          <w:sz w:val="32"/>
          <w:szCs w:val="32"/>
        </w:rPr>
        <w:t>年</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起開始實施房地合一稅制後，交易量短期有明顯減少現象，第二季開始交易量似乎有回穩現象，然而隨著房屋稅稅基修正議題發酵，稅基的正常化、市價化可能是未來的政策趨勢，加上房市正處於修正格局，市場的觀望氣氛仍將持續一段時間。</w:t>
      </w:r>
    </w:p>
    <w:p w:rsidR="00C42AA3" w:rsidRPr="00C422E6" w:rsidRDefault="00C42AA3" w:rsidP="00184E16">
      <w:pPr>
        <w:adjustRightInd w:val="0"/>
        <w:snapToGrid w:val="0"/>
        <w:spacing w:beforeLines="100" w:before="240" w:line="500" w:lineRule="atLeast"/>
        <w:ind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總結來看，房市受到經濟成長疲弱</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經濟成長率僅能保一</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、制度面調整</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房地合一稅實施及稅基正常化</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、趨勢面下跌</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房價</w:t>
      </w:r>
      <w:r w:rsidRPr="00C422E6">
        <w:rPr>
          <w:rFonts w:ascii="標楷體" w:eastAsia="標楷體" w:hAnsi="標楷體" w:cs="標楷體" w:hint="eastAsia"/>
          <w:sz w:val="32"/>
          <w:szCs w:val="32"/>
        </w:rPr>
        <w:lastRenderedPageBreak/>
        <w:t>趨勢展開緩跌格局</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、市場面萎縮</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交易量持續減少</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等因素影響，雖然金融面有低資金成本及資金浮濫的誘因，但由於金融體系在風險控管上的限制，加上購屋負擔仍重的基本條件尚未改變，預料我國的住宅價格仍將維持</w:t>
      </w:r>
      <w:r w:rsidRPr="00C422E6">
        <w:rPr>
          <w:rFonts w:ascii="標楷體" w:eastAsia="標楷體" w:hAnsi="標楷體" w:cs="標楷體"/>
          <w:sz w:val="32"/>
          <w:szCs w:val="32"/>
        </w:rPr>
        <w:t>104</w:t>
      </w:r>
      <w:r w:rsidRPr="00C422E6">
        <w:rPr>
          <w:rFonts w:ascii="標楷體" w:eastAsia="標楷體" w:hAnsi="標楷體" w:cs="標楷體" w:hint="eastAsia"/>
          <w:sz w:val="32"/>
          <w:szCs w:val="32"/>
        </w:rPr>
        <w:t>年的緩跌格局，房價的修正可能會由北</w:t>
      </w:r>
      <w:r>
        <w:rPr>
          <w:rFonts w:ascii="標楷體" w:eastAsia="標楷體" w:hAnsi="標楷體" w:cs="標楷體" w:hint="eastAsia"/>
          <w:sz w:val="32"/>
          <w:szCs w:val="32"/>
        </w:rPr>
        <w:t>臺</w:t>
      </w:r>
      <w:r w:rsidRPr="00C422E6">
        <w:rPr>
          <w:rFonts w:ascii="標楷體" w:eastAsia="標楷體" w:hAnsi="標楷體" w:cs="標楷體" w:hint="eastAsia"/>
          <w:sz w:val="32"/>
          <w:szCs w:val="32"/>
        </w:rPr>
        <w:t>灣逐步擴展到中南部，但幅度將</w:t>
      </w:r>
      <w:r>
        <w:rPr>
          <w:rFonts w:ascii="標楷體" w:eastAsia="標楷體" w:hAnsi="標楷體" w:cs="標楷體" w:hint="eastAsia"/>
          <w:sz w:val="32"/>
          <w:szCs w:val="32"/>
        </w:rPr>
        <w:t>預期</w:t>
      </w:r>
      <w:r w:rsidRPr="00C422E6">
        <w:rPr>
          <w:rFonts w:ascii="標楷體" w:eastAsia="標楷體" w:hAnsi="標楷體" w:cs="標楷體" w:hint="eastAsia"/>
          <w:sz w:val="32"/>
          <w:szCs w:val="32"/>
        </w:rPr>
        <w:t>會更加減緩，房價整理的時間也將拉長。</w:t>
      </w:r>
    </w:p>
    <w:p w:rsidR="00C42AA3" w:rsidRPr="00C422E6" w:rsidRDefault="00C42AA3" w:rsidP="00184E16">
      <w:pPr>
        <w:adjustRightInd w:val="0"/>
        <w:snapToGrid w:val="0"/>
        <w:spacing w:beforeLines="100" w:before="240" w:line="500" w:lineRule="atLeast"/>
        <w:ind w:firstLineChars="200" w:firstLine="640"/>
        <w:jc w:val="both"/>
        <w:rPr>
          <w:rFonts w:ascii="標楷體" w:eastAsia="標楷體" w:hAnsi="標楷體" w:cs="Times New Roman"/>
          <w:sz w:val="32"/>
          <w:szCs w:val="32"/>
        </w:rPr>
      </w:pPr>
    </w:p>
    <w:p w:rsidR="00C42AA3" w:rsidRPr="00C422E6" w:rsidRDefault="00C42AA3" w:rsidP="00184E16">
      <w:pPr>
        <w:adjustRightInd w:val="0"/>
        <w:snapToGrid w:val="0"/>
        <w:spacing w:beforeLines="100" w:before="240" w:line="500" w:lineRule="atLeast"/>
        <w:ind w:firstLineChars="200" w:firstLine="640"/>
        <w:jc w:val="both"/>
        <w:rPr>
          <w:rFonts w:ascii="標楷體" w:eastAsia="標楷體" w:hAnsi="標楷體" w:cs="Times New Roman"/>
          <w:b/>
          <w:bCs/>
          <w:sz w:val="32"/>
          <w:szCs w:val="32"/>
        </w:rPr>
      </w:pPr>
      <w:r w:rsidRPr="00C422E6">
        <w:rPr>
          <w:rFonts w:ascii="標楷體" w:eastAsia="標楷體" w:hAnsi="標楷體" w:cs="Times New Roman"/>
          <w:sz w:val="32"/>
          <w:szCs w:val="32"/>
        </w:rPr>
        <w:br w:type="page"/>
      </w:r>
      <w:bookmarkStart w:id="3" w:name="_Toc444595132"/>
      <w:r w:rsidRPr="00C422E6">
        <w:rPr>
          <w:rFonts w:ascii="標楷體" w:eastAsia="標楷體" w:hAnsi="標楷體" w:cs="標楷體" w:hint="eastAsia"/>
          <w:b/>
          <w:bCs/>
          <w:sz w:val="32"/>
          <w:szCs w:val="32"/>
        </w:rPr>
        <w:lastRenderedPageBreak/>
        <w:t>參、住宅價格指數統計表</w:t>
      </w:r>
      <w:bookmarkEnd w:id="3"/>
    </w:p>
    <w:p w:rsidR="00C42AA3" w:rsidRPr="00C422E6" w:rsidRDefault="00C42AA3" w:rsidP="00184E16">
      <w:pPr>
        <w:adjustRightInd w:val="0"/>
        <w:snapToGrid w:val="0"/>
        <w:spacing w:beforeLines="100" w:before="240" w:afterLines="50" w:after="120" w:line="240" w:lineRule="atLeast"/>
        <w:jc w:val="both"/>
        <w:outlineLvl w:val="0"/>
        <w:rPr>
          <w:rFonts w:ascii="標楷體" w:eastAsia="標楷體" w:hAnsi="標楷體" w:cs="Times New Roman"/>
          <w:sz w:val="32"/>
          <w:szCs w:val="32"/>
        </w:rPr>
      </w:pPr>
      <w:bookmarkStart w:id="4" w:name="_Toc444595133"/>
      <w:r w:rsidRPr="00C422E6">
        <w:rPr>
          <w:rFonts w:ascii="標楷體" w:eastAsia="標楷體" w:hAnsi="標楷體" w:cs="標楷體" w:hint="eastAsia"/>
          <w:sz w:val="32"/>
          <w:szCs w:val="32"/>
        </w:rPr>
        <w:t>表</w:t>
      </w:r>
      <w:r w:rsidRPr="00C422E6">
        <w:rPr>
          <w:rFonts w:ascii="標楷體" w:eastAsia="標楷體" w:hAnsi="標楷體" w:cs="標楷體"/>
          <w:sz w:val="32"/>
          <w:szCs w:val="32"/>
        </w:rPr>
        <w:t xml:space="preserve">1  </w:t>
      </w:r>
      <w:r w:rsidRPr="00C422E6">
        <w:rPr>
          <w:rFonts w:ascii="標楷體" w:eastAsia="標楷體" w:hAnsi="標楷體" w:cs="標楷體" w:hint="eastAsia"/>
          <w:sz w:val="32"/>
          <w:szCs w:val="32"/>
        </w:rPr>
        <w:t>全國及</w:t>
      </w:r>
      <w:r w:rsidRPr="00C422E6">
        <w:rPr>
          <w:rFonts w:ascii="標楷體" w:eastAsia="標楷體" w:hAnsi="標楷體" w:cs="標楷體"/>
          <w:sz w:val="32"/>
          <w:szCs w:val="32"/>
        </w:rPr>
        <w:t>6</w:t>
      </w:r>
      <w:r w:rsidRPr="00C422E6">
        <w:rPr>
          <w:rFonts w:ascii="標楷體" w:eastAsia="標楷體" w:hAnsi="標楷體" w:cs="標楷體" w:hint="eastAsia"/>
          <w:sz w:val="32"/>
          <w:szCs w:val="32"/>
        </w:rPr>
        <w:t>直轄市住宅價格指數表</w:t>
      </w:r>
      <w:bookmarkEnd w:id="4"/>
    </w:p>
    <w:p w:rsidR="00C42AA3" w:rsidRPr="00C422E6" w:rsidRDefault="00C42AA3" w:rsidP="00184E16">
      <w:pPr>
        <w:adjustRightInd w:val="0"/>
        <w:snapToGrid w:val="0"/>
        <w:spacing w:afterLines="30" w:after="72" w:line="280" w:lineRule="atLeast"/>
        <w:ind w:leftChars="-23" w:left="-55" w:right="91"/>
        <w:jc w:val="both"/>
        <w:rPr>
          <w:rFonts w:ascii="標楷體" w:eastAsia="標楷體" w:hAnsi="標楷體" w:cs="標楷體"/>
          <w:kern w:val="0"/>
        </w:rPr>
      </w:pPr>
      <w:r w:rsidRPr="00C422E6">
        <w:rPr>
          <w:rFonts w:ascii="標楷體" w:eastAsia="標楷體" w:hAnsi="標楷體" w:cs="標楷體" w:hint="eastAsia"/>
          <w:kern w:val="0"/>
        </w:rPr>
        <w:t>基期為中華民國</w:t>
      </w:r>
      <w:r w:rsidRPr="00C422E6">
        <w:rPr>
          <w:rFonts w:ascii="標楷體" w:eastAsia="標楷體" w:hAnsi="標楷體" w:cs="標楷體"/>
          <w:kern w:val="0"/>
        </w:rPr>
        <w:t>102</w:t>
      </w:r>
      <w:r w:rsidRPr="00C422E6">
        <w:rPr>
          <w:rFonts w:ascii="標楷體" w:eastAsia="標楷體" w:hAnsi="標楷體" w:cs="標楷體" w:hint="eastAsia"/>
          <w:kern w:val="0"/>
        </w:rPr>
        <w:t>年全年</w:t>
      </w:r>
      <w:r w:rsidRPr="00C422E6">
        <w:rPr>
          <w:rFonts w:ascii="標楷體" w:eastAsia="標楷體" w:hAnsi="標楷體" w:cs="標楷體"/>
          <w:kern w:val="0"/>
        </w:rPr>
        <w:t>=100</w:t>
      </w:r>
    </w:p>
    <w:tbl>
      <w:tblPr>
        <w:tblW w:w="96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0"/>
        <w:gridCol w:w="1200"/>
        <w:gridCol w:w="1200"/>
        <w:gridCol w:w="1200"/>
        <w:gridCol w:w="1200"/>
        <w:gridCol w:w="1200"/>
        <w:gridCol w:w="1200"/>
        <w:gridCol w:w="1200"/>
      </w:tblGrid>
      <w:tr w:rsidR="00C42AA3" w:rsidRPr="00C422E6">
        <w:trPr>
          <w:trHeight w:val="585"/>
          <w:tblHeader/>
          <w:jc w:val="center"/>
        </w:trPr>
        <w:tc>
          <w:tcPr>
            <w:tcW w:w="1200" w:type="dxa"/>
            <w:tcBorders>
              <w:top w:val="single" w:sz="12" w:space="0" w:color="auto"/>
            </w:tcBorders>
            <w:vAlign w:val="center"/>
          </w:tcPr>
          <w:p w:rsidR="00C42AA3" w:rsidRPr="00EF0E69" w:rsidRDefault="00C42AA3"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縣市</w:t>
            </w:r>
          </w:p>
        </w:tc>
        <w:tc>
          <w:tcPr>
            <w:tcW w:w="1200" w:type="dxa"/>
            <w:tcBorders>
              <w:top w:val="single" w:sz="12" w:space="0" w:color="auto"/>
            </w:tcBorders>
            <w:vAlign w:val="center"/>
          </w:tcPr>
          <w:p w:rsidR="00C42AA3" w:rsidRPr="00EF0E69" w:rsidRDefault="00C42AA3"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全　國</w:t>
            </w:r>
          </w:p>
        </w:tc>
        <w:tc>
          <w:tcPr>
            <w:tcW w:w="1200" w:type="dxa"/>
            <w:tcBorders>
              <w:top w:val="single" w:sz="12" w:space="0" w:color="auto"/>
            </w:tcBorders>
            <w:vAlign w:val="center"/>
          </w:tcPr>
          <w:p w:rsidR="00C42AA3" w:rsidRPr="00EF0E69" w:rsidRDefault="00C42AA3"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新北市</w:t>
            </w:r>
          </w:p>
        </w:tc>
        <w:tc>
          <w:tcPr>
            <w:tcW w:w="1200" w:type="dxa"/>
            <w:tcBorders>
              <w:top w:val="single" w:sz="12" w:space="0" w:color="auto"/>
            </w:tcBorders>
            <w:vAlign w:val="center"/>
          </w:tcPr>
          <w:p w:rsidR="00C42AA3" w:rsidRPr="00EF0E69" w:rsidRDefault="00C42AA3"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臺北市</w:t>
            </w:r>
          </w:p>
        </w:tc>
        <w:tc>
          <w:tcPr>
            <w:tcW w:w="1200" w:type="dxa"/>
            <w:tcBorders>
              <w:top w:val="single" w:sz="12" w:space="0" w:color="auto"/>
            </w:tcBorders>
            <w:vAlign w:val="center"/>
          </w:tcPr>
          <w:p w:rsidR="00C42AA3" w:rsidRPr="00EF0E69" w:rsidRDefault="00C42AA3"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桃園市</w:t>
            </w:r>
          </w:p>
        </w:tc>
        <w:tc>
          <w:tcPr>
            <w:tcW w:w="1200" w:type="dxa"/>
            <w:tcBorders>
              <w:top w:val="single" w:sz="12" w:space="0" w:color="auto"/>
            </w:tcBorders>
            <w:vAlign w:val="center"/>
          </w:tcPr>
          <w:p w:rsidR="00C42AA3" w:rsidRPr="00EF0E69" w:rsidRDefault="00C42AA3"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臺中市</w:t>
            </w:r>
          </w:p>
        </w:tc>
        <w:tc>
          <w:tcPr>
            <w:tcW w:w="1200" w:type="dxa"/>
            <w:tcBorders>
              <w:top w:val="single" w:sz="12" w:space="0" w:color="auto"/>
            </w:tcBorders>
            <w:vAlign w:val="center"/>
          </w:tcPr>
          <w:p w:rsidR="00C42AA3" w:rsidRPr="00EF0E69" w:rsidRDefault="00C42AA3"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臺南市</w:t>
            </w:r>
          </w:p>
        </w:tc>
        <w:tc>
          <w:tcPr>
            <w:tcW w:w="1200" w:type="dxa"/>
            <w:tcBorders>
              <w:top w:val="single" w:sz="12" w:space="0" w:color="auto"/>
            </w:tcBorders>
            <w:vAlign w:val="center"/>
          </w:tcPr>
          <w:p w:rsidR="00C42AA3" w:rsidRPr="00EF0E69" w:rsidRDefault="00C42AA3"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高雄市</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101</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3</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90.26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89.26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91.39</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85.47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90.46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91.35</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88.02</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101</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4</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91.16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91.10</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92.47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86.36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91.11</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90.97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90.17</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102</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1</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94.67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94.67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94.47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92.15</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96.46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93.60</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92.10</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102</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2</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99.12</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99.35</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99.12</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99.17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98.61</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98.68</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98.75</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102</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3</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101.66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101.69</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101.89</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104.77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103.54</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102.42</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102.60</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102</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4</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103.76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105.33</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104.12</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104.93</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104.98</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104.14</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107.29</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103</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1</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107.48</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108.19</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107.36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110.16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112.12</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109.17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110.55</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103</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2</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109.34</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110.59</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108.23</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111.04</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116.63</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112.02</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112.33</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103</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3</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111.65</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109.97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108.87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113.93</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116.80</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115.00</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113.35</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103</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4</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113.25</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110.82</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107.06</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118.59</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119.97</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116.53</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119.51</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104</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1</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115.19</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109.98</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106.00</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116.34</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126.89</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122.51</w:t>
            </w:r>
          </w:p>
        </w:tc>
        <w:tc>
          <w:tcPr>
            <w:tcW w:w="1200" w:type="dxa"/>
            <w:vAlign w:val="center"/>
          </w:tcPr>
          <w:p w:rsidR="00C42AA3" w:rsidRPr="00C422E6" w:rsidRDefault="00C42AA3"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121.17</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104</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2</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114.48</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110.13</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106.56</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117.73</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126.67</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120.97</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122.19</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lastRenderedPageBreak/>
              <w:t>104</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3</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114.40</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109.83</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105.23</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116.74</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123.08</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119.95</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122.04</w:t>
            </w:r>
          </w:p>
        </w:tc>
      </w:tr>
      <w:tr w:rsidR="00C42AA3" w:rsidRPr="00C422E6">
        <w:trPr>
          <w:trHeight w:val="585"/>
          <w:jc w:val="center"/>
        </w:trPr>
        <w:tc>
          <w:tcPr>
            <w:tcW w:w="1200" w:type="dxa"/>
            <w:vAlign w:val="center"/>
          </w:tcPr>
          <w:p w:rsidR="00C42AA3" w:rsidRPr="00C422E6" w:rsidRDefault="00C42AA3"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104</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4</w:t>
            </w:r>
            <w:r w:rsidRPr="00C422E6">
              <w:rPr>
                <w:rFonts w:ascii="標楷體" w:eastAsia="標楷體" w:hAnsi="標楷體" w:cs="標楷體" w:hint="eastAsia"/>
                <w:kern w:val="0"/>
                <w:sz w:val="30"/>
                <w:szCs w:val="30"/>
              </w:rPr>
              <w:t>季</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113.85</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107.79</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101.54</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115.68</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121.14</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119.29</w:t>
            </w:r>
          </w:p>
        </w:tc>
        <w:tc>
          <w:tcPr>
            <w:tcW w:w="1200" w:type="dxa"/>
            <w:vAlign w:val="center"/>
          </w:tcPr>
          <w:p w:rsidR="00C42AA3" w:rsidRPr="00C422E6" w:rsidRDefault="00C42AA3"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120.73</w:t>
            </w:r>
          </w:p>
        </w:tc>
      </w:tr>
      <w:tr w:rsidR="00C42AA3" w:rsidRPr="00C422E6">
        <w:trPr>
          <w:trHeight w:val="585"/>
          <w:jc w:val="center"/>
        </w:trPr>
        <w:tc>
          <w:tcPr>
            <w:tcW w:w="1200" w:type="dxa"/>
            <w:tcBorders>
              <w:bottom w:val="single" w:sz="12" w:space="0" w:color="auto"/>
            </w:tcBorders>
            <w:vAlign w:val="center"/>
          </w:tcPr>
          <w:p w:rsidR="00C42AA3" w:rsidRPr="00C422E6" w:rsidRDefault="00C42AA3" w:rsidP="00EF0E69">
            <w:pPr>
              <w:widowControl/>
              <w:spacing w:line="400" w:lineRule="exact"/>
              <w:jc w:val="center"/>
              <w:rPr>
                <w:rFonts w:ascii="標楷體" w:eastAsia="標楷體" w:hAnsi="標楷體" w:cs="Times New Roman"/>
                <w:color w:val="FF0000"/>
                <w:kern w:val="0"/>
                <w:sz w:val="30"/>
                <w:szCs w:val="30"/>
              </w:rPr>
            </w:pPr>
            <w:r w:rsidRPr="00C422E6">
              <w:rPr>
                <w:rFonts w:ascii="標楷體" w:eastAsia="標楷體" w:hAnsi="標楷體" w:cs="標楷體"/>
                <w:color w:val="FF0000"/>
                <w:kern w:val="0"/>
                <w:sz w:val="30"/>
                <w:szCs w:val="30"/>
              </w:rPr>
              <w:t>105</w:t>
            </w:r>
            <w:r w:rsidRPr="00C422E6">
              <w:rPr>
                <w:rFonts w:ascii="標楷體" w:eastAsia="標楷體" w:hAnsi="標楷體" w:cs="標楷體" w:hint="eastAsia"/>
                <w:color w:val="FF0000"/>
                <w:kern w:val="0"/>
                <w:sz w:val="30"/>
                <w:szCs w:val="30"/>
              </w:rPr>
              <w:t>年</w:t>
            </w:r>
          </w:p>
          <w:p w:rsidR="00C42AA3" w:rsidRPr="00C422E6" w:rsidRDefault="00C42AA3" w:rsidP="00EF0E69">
            <w:pPr>
              <w:widowControl/>
              <w:spacing w:line="400" w:lineRule="exact"/>
              <w:jc w:val="center"/>
              <w:rPr>
                <w:rFonts w:ascii="標楷體" w:eastAsia="標楷體" w:hAnsi="標楷體" w:cs="Times New Roman"/>
                <w:color w:val="FF0000"/>
                <w:kern w:val="0"/>
                <w:sz w:val="30"/>
                <w:szCs w:val="30"/>
              </w:rPr>
            </w:pPr>
            <w:r w:rsidRPr="00C422E6">
              <w:rPr>
                <w:rFonts w:ascii="標楷體" w:eastAsia="標楷體" w:hAnsi="標楷體" w:cs="標楷體" w:hint="eastAsia"/>
                <w:color w:val="FF0000"/>
                <w:kern w:val="0"/>
                <w:sz w:val="30"/>
                <w:szCs w:val="30"/>
              </w:rPr>
              <w:t>第</w:t>
            </w:r>
            <w:r w:rsidRPr="00C422E6">
              <w:rPr>
                <w:rFonts w:ascii="標楷體" w:eastAsia="標楷體" w:hAnsi="標楷體" w:cs="標楷體"/>
                <w:color w:val="FF0000"/>
                <w:kern w:val="0"/>
                <w:sz w:val="30"/>
                <w:szCs w:val="30"/>
              </w:rPr>
              <w:t>1</w:t>
            </w:r>
            <w:r w:rsidRPr="00C422E6">
              <w:rPr>
                <w:rFonts w:ascii="標楷體" w:eastAsia="標楷體" w:hAnsi="標楷體" w:cs="標楷體" w:hint="eastAsia"/>
                <w:color w:val="FF0000"/>
                <w:kern w:val="0"/>
                <w:sz w:val="30"/>
                <w:szCs w:val="30"/>
              </w:rPr>
              <w:t>季</w:t>
            </w:r>
          </w:p>
        </w:tc>
        <w:tc>
          <w:tcPr>
            <w:tcW w:w="1200" w:type="dxa"/>
            <w:tcBorders>
              <w:bottom w:val="single" w:sz="12" w:space="0" w:color="auto"/>
            </w:tcBorders>
            <w:vAlign w:val="center"/>
          </w:tcPr>
          <w:p w:rsidR="00C42AA3" w:rsidRPr="00C422E6" w:rsidRDefault="00C42AA3" w:rsidP="00EF0E69">
            <w:pPr>
              <w:spacing w:line="400" w:lineRule="exact"/>
              <w:jc w:val="center"/>
              <w:rPr>
                <w:rFonts w:ascii="標楷體" w:eastAsia="標楷體" w:hAnsi="標楷體" w:cs="標楷體"/>
                <w:color w:val="FF0000"/>
                <w:sz w:val="30"/>
                <w:szCs w:val="30"/>
              </w:rPr>
            </w:pPr>
            <w:r w:rsidRPr="00C422E6">
              <w:rPr>
                <w:rFonts w:ascii="標楷體" w:eastAsia="標楷體" w:hAnsi="標楷體" w:cs="標楷體"/>
                <w:color w:val="FF0000"/>
                <w:sz w:val="30"/>
                <w:szCs w:val="30"/>
              </w:rPr>
              <w:t>113.68</w:t>
            </w:r>
          </w:p>
        </w:tc>
        <w:tc>
          <w:tcPr>
            <w:tcW w:w="1200" w:type="dxa"/>
            <w:tcBorders>
              <w:bottom w:val="single" w:sz="12" w:space="0" w:color="auto"/>
            </w:tcBorders>
            <w:vAlign w:val="center"/>
          </w:tcPr>
          <w:p w:rsidR="00C42AA3" w:rsidRPr="00C422E6" w:rsidRDefault="00C42AA3" w:rsidP="00EF0E69">
            <w:pPr>
              <w:spacing w:line="400" w:lineRule="exact"/>
              <w:jc w:val="center"/>
              <w:rPr>
                <w:rFonts w:ascii="標楷體" w:eastAsia="標楷體" w:hAnsi="標楷體" w:cs="標楷體"/>
                <w:color w:val="FF0000"/>
                <w:sz w:val="30"/>
                <w:szCs w:val="30"/>
              </w:rPr>
            </w:pPr>
            <w:r w:rsidRPr="00C422E6">
              <w:rPr>
                <w:rFonts w:ascii="標楷體" w:eastAsia="標楷體" w:hAnsi="標楷體" w:cs="標楷體"/>
                <w:color w:val="FF0000"/>
                <w:sz w:val="30"/>
                <w:szCs w:val="30"/>
              </w:rPr>
              <w:t>107.60</w:t>
            </w:r>
          </w:p>
        </w:tc>
        <w:tc>
          <w:tcPr>
            <w:tcW w:w="1200" w:type="dxa"/>
            <w:tcBorders>
              <w:bottom w:val="single" w:sz="12" w:space="0" w:color="auto"/>
            </w:tcBorders>
            <w:vAlign w:val="center"/>
          </w:tcPr>
          <w:p w:rsidR="00C42AA3" w:rsidRPr="00C422E6" w:rsidRDefault="00C42AA3" w:rsidP="00EF0E69">
            <w:pPr>
              <w:spacing w:line="400" w:lineRule="exact"/>
              <w:jc w:val="center"/>
              <w:rPr>
                <w:rFonts w:ascii="標楷體" w:eastAsia="標楷體" w:hAnsi="標楷體" w:cs="標楷體"/>
                <w:color w:val="FF0000"/>
                <w:sz w:val="30"/>
                <w:szCs w:val="30"/>
              </w:rPr>
            </w:pPr>
            <w:r w:rsidRPr="00C422E6">
              <w:rPr>
                <w:rFonts w:ascii="標楷體" w:eastAsia="標楷體" w:hAnsi="標楷體" w:cs="標楷體"/>
                <w:color w:val="FF0000"/>
                <w:sz w:val="30"/>
                <w:szCs w:val="30"/>
              </w:rPr>
              <w:t>100.21</w:t>
            </w:r>
          </w:p>
        </w:tc>
        <w:tc>
          <w:tcPr>
            <w:tcW w:w="1200" w:type="dxa"/>
            <w:tcBorders>
              <w:bottom w:val="single" w:sz="12" w:space="0" w:color="auto"/>
            </w:tcBorders>
            <w:vAlign w:val="center"/>
          </w:tcPr>
          <w:p w:rsidR="00C42AA3" w:rsidRPr="00C422E6" w:rsidRDefault="00C42AA3" w:rsidP="00EF0E69">
            <w:pPr>
              <w:spacing w:line="400" w:lineRule="exact"/>
              <w:jc w:val="center"/>
              <w:rPr>
                <w:rFonts w:ascii="標楷體" w:eastAsia="標楷體" w:hAnsi="標楷體" w:cs="標楷體"/>
                <w:color w:val="FF0000"/>
                <w:sz w:val="30"/>
                <w:szCs w:val="30"/>
              </w:rPr>
            </w:pPr>
            <w:r w:rsidRPr="00C422E6">
              <w:rPr>
                <w:rFonts w:ascii="標楷體" w:eastAsia="標楷體" w:hAnsi="標楷體" w:cs="標楷體"/>
                <w:color w:val="FF0000"/>
                <w:sz w:val="30"/>
                <w:szCs w:val="30"/>
              </w:rPr>
              <w:t>114.74</w:t>
            </w:r>
          </w:p>
        </w:tc>
        <w:tc>
          <w:tcPr>
            <w:tcW w:w="1200" w:type="dxa"/>
            <w:tcBorders>
              <w:bottom w:val="single" w:sz="12" w:space="0" w:color="auto"/>
            </w:tcBorders>
            <w:vAlign w:val="center"/>
          </w:tcPr>
          <w:p w:rsidR="00C42AA3" w:rsidRPr="00C422E6" w:rsidRDefault="00C42AA3" w:rsidP="00EF0E69">
            <w:pPr>
              <w:spacing w:line="400" w:lineRule="exact"/>
              <w:jc w:val="center"/>
              <w:rPr>
                <w:rFonts w:ascii="標楷體" w:eastAsia="標楷體" w:hAnsi="標楷體" w:cs="標楷體"/>
                <w:color w:val="FF0000"/>
                <w:sz w:val="30"/>
                <w:szCs w:val="30"/>
              </w:rPr>
            </w:pPr>
            <w:r w:rsidRPr="00C422E6">
              <w:rPr>
                <w:rFonts w:ascii="標楷體" w:eastAsia="標楷體" w:hAnsi="標楷體" w:cs="標楷體"/>
                <w:color w:val="FF0000"/>
                <w:sz w:val="30"/>
                <w:szCs w:val="30"/>
              </w:rPr>
              <w:t>120.65</w:t>
            </w:r>
          </w:p>
        </w:tc>
        <w:tc>
          <w:tcPr>
            <w:tcW w:w="1200" w:type="dxa"/>
            <w:tcBorders>
              <w:bottom w:val="single" w:sz="12" w:space="0" w:color="auto"/>
            </w:tcBorders>
            <w:vAlign w:val="center"/>
          </w:tcPr>
          <w:p w:rsidR="00C42AA3" w:rsidRPr="00C422E6" w:rsidRDefault="00C42AA3" w:rsidP="00EF0E69">
            <w:pPr>
              <w:spacing w:line="400" w:lineRule="exact"/>
              <w:jc w:val="center"/>
              <w:rPr>
                <w:rFonts w:ascii="標楷體" w:eastAsia="標楷體" w:hAnsi="標楷體" w:cs="標楷體"/>
                <w:color w:val="FF0000"/>
                <w:sz w:val="30"/>
                <w:szCs w:val="30"/>
              </w:rPr>
            </w:pPr>
            <w:r w:rsidRPr="00C422E6">
              <w:rPr>
                <w:rFonts w:ascii="標楷體" w:eastAsia="標楷體" w:hAnsi="標楷體" w:cs="標楷體"/>
                <w:color w:val="FF0000"/>
                <w:sz w:val="30"/>
                <w:szCs w:val="30"/>
              </w:rPr>
              <w:t>119.24</w:t>
            </w:r>
          </w:p>
        </w:tc>
        <w:tc>
          <w:tcPr>
            <w:tcW w:w="1200" w:type="dxa"/>
            <w:tcBorders>
              <w:bottom w:val="single" w:sz="12" w:space="0" w:color="auto"/>
            </w:tcBorders>
            <w:vAlign w:val="center"/>
          </w:tcPr>
          <w:p w:rsidR="00C42AA3" w:rsidRPr="00C422E6" w:rsidRDefault="00C42AA3" w:rsidP="00EF0E69">
            <w:pPr>
              <w:spacing w:line="400" w:lineRule="exact"/>
              <w:jc w:val="center"/>
              <w:rPr>
                <w:rFonts w:ascii="標楷體" w:eastAsia="標楷體" w:hAnsi="標楷體" w:cs="標楷體"/>
                <w:color w:val="FF0000"/>
                <w:sz w:val="30"/>
                <w:szCs w:val="30"/>
              </w:rPr>
            </w:pPr>
            <w:r w:rsidRPr="00C422E6">
              <w:rPr>
                <w:rFonts w:ascii="標楷體" w:eastAsia="標楷體" w:hAnsi="標楷體" w:cs="標楷體"/>
                <w:color w:val="FF0000"/>
                <w:sz w:val="30"/>
                <w:szCs w:val="30"/>
              </w:rPr>
              <w:t>119.20</w:t>
            </w:r>
          </w:p>
        </w:tc>
      </w:tr>
      <w:tr w:rsidR="00C42AA3" w:rsidRPr="00C422E6">
        <w:trPr>
          <w:trHeight w:val="585"/>
          <w:jc w:val="center"/>
        </w:trPr>
        <w:tc>
          <w:tcPr>
            <w:tcW w:w="1200" w:type="dxa"/>
            <w:tcBorders>
              <w:bottom w:val="single" w:sz="12" w:space="0" w:color="auto"/>
            </w:tcBorders>
            <w:vAlign w:val="center"/>
          </w:tcPr>
          <w:p w:rsidR="00C42AA3" w:rsidRPr="00C422E6" w:rsidRDefault="00C42AA3" w:rsidP="00EF0E69">
            <w:pPr>
              <w:widowControl/>
              <w:spacing w:line="400" w:lineRule="exact"/>
              <w:jc w:val="center"/>
              <w:rPr>
                <w:rFonts w:ascii="標楷體" w:eastAsia="標楷體" w:hAnsi="標楷體" w:cs="Times New Roman"/>
                <w:color w:val="FF0000"/>
                <w:kern w:val="0"/>
                <w:sz w:val="30"/>
                <w:szCs w:val="30"/>
              </w:rPr>
            </w:pPr>
            <w:r w:rsidRPr="00C422E6">
              <w:rPr>
                <w:rFonts w:ascii="標楷體" w:eastAsia="標楷體" w:hAnsi="標楷體" w:cs="標楷體"/>
                <w:color w:val="FF0000"/>
                <w:kern w:val="0"/>
                <w:sz w:val="30"/>
                <w:szCs w:val="30"/>
              </w:rPr>
              <w:t>105</w:t>
            </w:r>
            <w:r w:rsidRPr="00C422E6">
              <w:rPr>
                <w:rFonts w:ascii="標楷體" w:eastAsia="標楷體" w:hAnsi="標楷體" w:cs="標楷體" w:hint="eastAsia"/>
                <w:color w:val="FF0000"/>
                <w:kern w:val="0"/>
                <w:sz w:val="30"/>
                <w:szCs w:val="30"/>
              </w:rPr>
              <w:t>年</w:t>
            </w:r>
          </w:p>
          <w:p w:rsidR="00C42AA3" w:rsidRPr="00C422E6" w:rsidRDefault="00C42AA3" w:rsidP="00EF0E69">
            <w:pPr>
              <w:widowControl/>
              <w:spacing w:line="400" w:lineRule="exact"/>
              <w:jc w:val="center"/>
              <w:rPr>
                <w:rFonts w:ascii="標楷體" w:eastAsia="標楷體" w:hAnsi="標楷體" w:cs="Times New Roman"/>
                <w:color w:val="FF0000"/>
                <w:kern w:val="0"/>
                <w:sz w:val="30"/>
                <w:szCs w:val="30"/>
              </w:rPr>
            </w:pPr>
            <w:r w:rsidRPr="00C422E6">
              <w:rPr>
                <w:rFonts w:ascii="標楷體" w:eastAsia="標楷體" w:hAnsi="標楷體" w:cs="標楷體" w:hint="eastAsia"/>
                <w:color w:val="FF0000"/>
                <w:kern w:val="0"/>
                <w:sz w:val="30"/>
                <w:szCs w:val="30"/>
              </w:rPr>
              <w:t>第</w:t>
            </w:r>
            <w:r>
              <w:rPr>
                <w:rFonts w:ascii="標楷體" w:eastAsia="標楷體" w:hAnsi="標楷體" w:cs="標楷體"/>
                <w:color w:val="FF0000"/>
                <w:kern w:val="0"/>
                <w:sz w:val="30"/>
                <w:szCs w:val="30"/>
              </w:rPr>
              <w:t>2</w:t>
            </w:r>
            <w:r w:rsidRPr="00C422E6">
              <w:rPr>
                <w:rFonts w:ascii="標楷體" w:eastAsia="標楷體" w:hAnsi="標楷體" w:cs="標楷體" w:hint="eastAsia"/>
                <w:color w:val="FF0000"/>
                <w:kern w:val="0"/>
                <w:sz w:val="30"/>
                <w:szCs w:val="30"/>
              </w:rPr>
              <w:t>季</w:t>
            </w:r>
          </w:p>
        </w:tc>
        <w:tc>
          <w:tcPr>
            <w:tcW w:w="1200" w:type="dxa"/>
            <w:tcBorders>
              <w:bottom w:val="single" w:sz="12" w:space="0" w:color="auto"/>
            </w:tcBorders>
            <w:vAlign w:val="center"/>
          </w:tcPr>
          <w:p w:rsidR="00C42AA3" w:rsidRPr="003A3EA5" w:rsidRDefault="00C42AA3" w:rsidP="003A3EA5">
            <w:pPr>
              <w:spacing w:line="400" w:lineRule="exact"/>
              <w:jc w:val="center"/>
              <w:rPr>
                <w:rFonts w:ascii="標楷體" w:eastAsia="標楷體" w:hAnsi="標楷體" w:cs="標楷體"/>
                <w:color w:val="FF0000"/>
                <w:sz w:val="30"/>
                <w:szCs w:val="30"/>
              </w:rPr>
            </w:pPr>
            <w:r w:rsidRPr="003A3EA5">
              <w:rPr>
                <w:rFonts w:ascii="標楷體" w:eastAsia="標楷體" w:hAnsi="標楷體" w:cs="標楷體"/>
                <w:color w:val="FF0000"/>
                <w:sz w:val="30"/>
                <w:szCs w:val="30"/>
              </w:rPr>
              <w:t xml:space="preserve">115.01 </w:t>
            </w:r>
          </w:p>
        </w:tc>
        <w:tc>
          <w:tcPr>
            <w:tcW w:w="1200" w:type="dxa"/>
            <w:tcBorders>
              <w:bottom w:val="single" w:sz="12" w:space="0" w:color="auto"/>
            </w:tcBorders>
            <w:vAlign w:val="center"/>
          </w:tcPr>
          <w:p w:rsidR="00C42AA3" w:rsidRPr="003A3EA5" w:rsidRDefault="00C42AA3" w:rsidP="003A3EA5">
            <w:pPr>
              <w:spacing w:line="400" w:lineRule="exact"/>
              <w:jc w:val="center"/>
              <w:rPr>
                <w:rFonts w:ascii="標楷體" w:eastAsia="標楷體" w:hAnsi="標楷體" w:cs="標楷體"/>
                <w:color w:val="FF0000"/>
                <w:sz w:val="30"/>
                <w:szCs w:val="30"/>
              </w:rPr>
            </w:pPr>
            <w:r w:rsidRPr="003A3EA5">
              <w:rPr>
                <w:rFonts w:ascii="標楷體" w:eastAsia="標楷體" w:hAnsi="標楷體" w:cs="標楷體"/>
                <w:color w:val="FF0000"/>
                <w:sz w:val="30"/>
                <w:szCs w:val="30"/>
              </w:rPr>
              <w:t xml:space="preserve">107.04 </w:t>
            </w:r>
          </w:p>
        </w:tc>
        <w:tc>
          <w:tcPr>
            <w:tcW w:w="1200" w:type="dxa"/>
            <w:tcBorders>
              <w:bottom w:val="single" w:sz="12" w:space="0" w:color="auto"/>
            </w:tcBorders>
            <w:vAlign w:val="center"/>
          </w:tcPr>
          <w:p w:rsidR="00C42AA3" w:rsidRPr="003A3EA5" w:rsidRDefault="00C42AA3" w:rsidP="003A3EA5">
            <w:pPr>
              <w:spacing w:line="400" w:lineRule="exact"/>
              <w:jc w:val="center"/>
              <w:rPr>
                <w:rFonts w:ascii="標楷體" w:eastAsia="標楷體" w:hAnsi="標楷體" w:cs="標楷體"/>
                <w:color w:val="FF0000"/>
                <w:sz w:val="30"/>
                <w:szCs w:val="30"/>
              </w:rPr>
            </w:pPr>
            <w:r w:rsidRPr="003A3EA5">
              <w:rPr>
                <w:rFonts w:ascii="標楷體" w:eastAsia="標楷體" w:hAnsi="標楷體" w:cs="標楷體"/>
                <w:color w:val="FF0000"/>
                <w:sz w:val="30"/>
                <w:szCs w:val="30"/>
              </w:rPr>
              <w:t xml:space="preserve">100.41 </w:t>
            </w:r>
          </w:p>
        </w:tc>
        <w:tc>
          <w:tcPr>
            <w:tcW w:w="1200" w:type="dxa"/>
            <w:tcBorders>
              <w:bottom w:val="single" w:sz="12" w:space="0" w:color="auto"/>
            </w:tcBorders>
            <w:vAlign w:val="center"/>
          </w:tcPr>
          <w:p w:rsidR="00C42AA3" w:rsidRPr="003A3EA5" w:rsidRDefault="00C42AA3" w:rsidP="003A3EA5">
            <w:pPr>
              <w:spacing w:line="400" w:lineRule="exact"/>
              <w:jc w:val="center"/>
              <w:rPr>
                <w:rFonts w:ascii="標楷體" w:eastAsia="標楷體" w:hAnsi="標楷體" w:cs="標楷體"/>
                <w:color w:val="FF0000"/>
                <w:sz w:val="30"/>
                <w:szCs w:val="30"/>
              </w:rPr>
            </w:pPr>
            <w:r w:rsidRPr="003A3EA5">
              <w:rPr>
                <w:rFonts w:ascii="標楷體" w:eastAsia="標楷體" w:hAnsi="標楷體" w:cs="標楷體"/>
                <w:color w:val="FF0000"/>
                <w:sz w:val="30"/>
                <w:szCs w:val="30"/>
              </w:rPr>
              <w:t xml:space="preserve">112.26 </w:t>
            </w:r>
          </w:p>
        </w:tc>
        <w:tc>
          <w:tcPr>
            <w:tcW w:w="1200" w:type="dxa"/>
            <w:tcBorders>
              <w:bottom w:val="single" w:sz="12" w:space="0" w:color="auto"/>
            </w:tcBorders>
            <w:vAlign w:val="center"/>
          </w:tcPr>
          <w:p w:rsidR="00C42AA3" w:rsidRPr="003A3EA5" w:rsidRDefault="00C42AA3" w:rsidP="003A3EA5">
            <w:pPr>
              <w:spacing w:line="400" w:lineRule="exact"/>
              <w:jc w:val="center"/>
              <w:rPr>
                <w:rFonts w:ascii="標楷體" w:eastAsia="標楷體" w:hAnsi="標楷體" w:cs="標楷體"/>
                <w:color w:val="FF0000"/>
                <w:sz w:val="30"/>
                <w:szCs w:val="30"/>
              </w:rPr>
            </w:pPr>
            <w:r w:rsidRPr="003A3EA5">
              <w:rPr>
                <w:rFonts w:ascii="標楷體" w:eastAsia="標楷體" w:hAnsi="標楷體" w:cs="標楷體"/>
                <w:color w:val="FF0000"/>
                <w:sz w:val="30"/>
                <w:szCs w:val="30"/>
              </w:rPr>
              <w:t xml:space="preserve">123.07 </w:t>
            </w:r>
          </w:p>
        </w:tc>
        <w:tc>
          <w:tcPr>
            <w:tcW w:w="1200" w:type="dxa"/>
            <w:tcBorders>
              <w:bottom w:val="single" w:sz="12" w:space="0" w:color="auto"/>
            </w:tcBorders>
            <w:vAlign w:val="center"/>
          </w:tcPr>
          <w:p w:rsidR="00C42AA3" w:rsidRPr="003A3EA5" w:rsidRDefault="00C42AA3" w:rsidP="003A3EA5">
            <w:pPr>
              <w:spacing w:line="400" w:lineRule="exact"/>
              <w:jc w:val="center"/>
              <w:rPr>
                <w:rFonts w:ascii="標楷體" w:eastAsia="標楷體" w:hAnsi="標楷體" w:cs="標楷體"/>
                <w:color w:val="FF0000"/>
                <w:sz w:val="30"/>
                <w:szCs w:val="30"/>
              </w:rPr>
            </w:pPr>
            <w:r w:rsidRPr="003A3EA5">
              <w:rPr>
                <w:rFonts w:ascii="標楷體" w:eastAsia="標楷體" w:hAnsi="標楷體" w:cs="標楷體"/>
                <w:color w:val="FF0000"/>
                <w:sz w:val="30"/>
                <w:szCs w:val="30"/>
              </w:rPr>
              <w:t xml:space="preserve">121.19 </w:t>
            </w:r>
          </w:p>
        </w:tc>
        <w:tc>
          <w:tcPr>
            <w:tcW w:w="1200" w:type="dxa"/>
            <w:tcBorders>
              <w:bottom w:val="single" w:sz="12" w:space="0" w:color="auto"/>
            </w:tcBorders>
            <w:vAlign w:val="center"/>
          </w:tcPr>
          <w:p w:rsidR="00C42AA3" w:rsidRPr="003A3EA5" w:rsidRDefault="00C42AA3" w:rsidP="003A3EA5">
            <w:pPr>
              <w:spacing w:line="400" w:lineRule="exact"/>
              <w:jc w:val="center"/>
              <w:rPr>
                <w:rFonts w:ascii="標楷體" w:eastAsia="標楷體" w:hAnsi="標楷體" w:cs="標楷體"/>
                <w:color w:val="FF0000"/>
                <w:sz w:val="30"/>
                <w:szCs w:val="30"/>
              </w:rPr>
            </w:pPr>
            <w:r w:rsidRPr="003A3EA5">
              <w:rPr>
                <w:rFonts w:ascii="標楷體" w:eastAsia="標楷體" w:hAnsi="標楷體" w:cs="標楷體"/>
                <w:color w:val="FF0000"/>
                <w:sz w:val="30"/>
                <w:szCs w:val="30"/>
              </w:rPr>
              <w:t xml:space="preserve">121.34 </w:t>
            </w:r>
          </w:p>
        </w:tc>
      </w:tr>
    </w:tbl>
    <w:p w:rsidR="00C42AA3" w:rsidRPr="00C422E6" w:rsidRDefault="00C42AA3" w:rsidP="00EF0E69">
      <w:pPr>
        <w:adjustRightInd w:val="0"/>
        <w:snapToGrid w:val="0"/>
        <w:spacing w:line="400" w:lineRule="exact"/>
        <w:jc w:val="both"/>
        <w:outlineLvl w:val="0"/>
        <w:rPr>
          <w:rFonts w:ascii="標楷體" w:eastAsia="標楷體" w:hAnsi="標楷體" w:cs="Times New Roman"/>
          <w:sz w:val="32"/>
          <w:szCs w:val="32"/>
        </w:rPr>
      </w:pPr>
      <w:r w:rsidRPr="00C422E6">
        <w:rPr>
          <w:rFonts w:ascii="標楷體" w:eastAsia="標楷體" w:hAnsi="標楷體" w:cs="Times New Roman"/>
          <w:sz w:val="28"/>
          <w:szCs w:val="28"/>
        </w:rPr>
        <w:br w:type="page"/>
      </w:r>
      <w:bookmarkStart w:id="5" w:name="_Toc444595134"/>
      <w:r w:rsidRPr="00C422E6">
        <w:rPr>
          <w:rFonts w:ascii="標楷體" w:eastAsia="標楷體" w:hAnsi="標楷體" w:cs="標楷體" w:hint="eastAsia"/>
          <w:sz w:val="32"/>
          <w:szCs w:val="32"/>
        </w:rPr>
        <w:lastRenderedPageBreak/>
        <w:t>表</w:t>
      </w:r>
      <w:r w:rsidRPr="00C422E6">
        <w:rPr>
          <w:rFonts w:ascii="標楷體" w:eastAsia="標楷體" w:hAnsi="標楷體" w:cs="標楷體"/>
          <w:sz w:val="32"/>
          <w:szCs w:val="32"/>
        </w:rPr>
        <w:t xml:space="preserve">2  </w:t>
      </w:r>
      <w:r w:rsidRPr="00C422E6">
        <w:rPr>
          <w:rFonts w:ascii="標楷體" w:eastAsia="標楷體" w:hAnsi="標楷體" w:cs="標楷體" w:hint="eastAsia"/>
          <w:sz w:val="32"/>
          <w:szCs w:val="32"/>
        </w:rPr>
        <w:t>全國及</w:t>
      </w:r>
      <w:r w:rsidRPr="00C422E6">
        <w:rPr>
          <w:rFonts w:ascii="標楷體" w:eastAsia="標楷體" w:hAnsi="標楷體" w:cs="標楷體"/>
          <w:sz w:val="32"/>
          <w:szCs w:val="32"/>
        </w:rPr>
        <w:t>6</w:t>
      </w:r>
      <w:r w:rsidRPr="00C422E6">
        <w:rPr>
          <w:rFonts w:ascii="標楷體" w:eastAsia="標楷體" w:hAnsi="標楷體" w:cs="標楷體" w:hint="eastAsia"/>
          <w:sz w:val="32"/>
          <w:szCs w:val="32"/>
        </w:rPr>
        <w:t>直轄市住宅價格指數相對上季變動率表</w:t>
      </w:r>
      <w:bookmarkEnd w:id="5"/>
    </w:p>
    <w:p w:rsidR="00C42AA3" w:rsidRPr="00C422E6" w:rsidRDefault="00C42AA3" w:rsidP="00EB4BE5">
      <w:pPr>
        <w:adjustRightInd w:val="0"/>
        <w:snapToGrid w:val="0"/>
        <w:ind w:leftChars="-23" w:left="-55" w:right="91"/>
        <w:jc w:val="both"/>
        <w:rPr>
          <w:rFonts w:ascii="標楷體" w:eastAsia="標楷體" w:hAnsi="標楷體" w:cs="Times New Roman"/>
          <w:kern w:val="0"/>
          <w:sz w:val="28"/>
          <w:szCs w:val="28"/>
        </w:rPr>
      </w:pPr>
      <w:r w:rsidRPr="00C422E6">
        <w:rPr>
          <w:rFonts w:ascii="標楷體" w:eastAsia="標楷體" w:hAnsi="標楷體" w:cs="標楷體"/>
          <w:kern w:val="0"/>
          <w:sz w:val="28"/>
          <w:szCs w:val="28"/>
        </w:rPr>
        <w:t xml:space="preserve">                                                            </w:t>
      </w:r>
      <w:r w:rsidRPr="00C422E6">
        <w:rPr>
          <w:rFonts w:ascii="標楷體" w:eastAsia="標楷體" w:hAnsi="標楷體" w:cs="標楷體" w:hint="eastAsia"/>
          <w:kern w:val="0"/>
          <w:sz w:val="28"/>
          <w:szCs w:val="28"/>
        </w:rPr>
        <w:t>單位：％</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93"/>
        <w:gridCol w:w="1189"/>
        <w:gridCol w:w="1192"/>
        <w:gridCol w:w="1192"/>
        <w:gridCol w:w="1190"/>
        <w:gridCol w:w="1194"/>
        <w:gridCol w:w="1194"/>
        <w:gridCol w:w="1182"/>
      </w:tblGrid>
      <w:tr w:rsidR="00C42AA3" w:rsidRPr="00C422E6">
        <w:trPr>
          <w:trHeight w:val="822"/>
          <w:jc w:val="center"/>
        </w:trPr>
        <w:tc>
          <w:tcPr>
            <w:tcW w:w="672" w:type="pct"/>
            <w:vAlign w:val="center"/>
          </w:tcPr>
          <w:p w:rsidR="00C42AA3" w:rsidRPr="002F43CB" w:rsidRDefault="00C42AA3" w:rsidP="00C45F99">
            <w:pPr>
              <w:widowControl/>
              <w:adjustRightInd w:val="0"/>
              <w:snapToGrid w:val="0"/>
              <w:spacing w:line="380" w:lineRule="exact"/>
              <w:jc w:val="both"/>
              <w:rPr>
                <w:rFonts w:ascii="標楷體" w:eastAsia="標楷體" w:hAnsi="標楷體" w:cs="Times New Roman"/>
                <w:b/>
                <w:bCs/>
                <w:color w:val="000000"/>
                <w:kern w:val="0"/>
                <w:sz w:val="32"/>
                <w:szCs w:val="32"/>
              </w:rPr>
            </w:pPr>
          </w:p>
        </w:tc>
        <w:tc>
          <w:tcPr>
            <w:tcW w:w="618" w:type="pct"/>
            <w:vAlign w:val="center"/>
          </w:tcPr>
          <w:p w:rsidR="00C42AA3" w:rsidRPr="002F43CB" w:rsidRDefault="00C42AA3" w:rsidP="00C45F99">
            <w:pPr>
              <w:widowControl/>
              <w:adjustRightInd w:val="0"/>
              <w:snapToGrid w:val="0"/>
              <w:spacing w:line="38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全　國</w:t>
            </w:r>
          </w:p>
        </w:tc>
        <w:tc>
          <w:tcPr>
            <w:tcW w:w="619" w:type="pct"/>
            <w:vAlign w:val="center"/>
          </w:tcPr>
          <w:p w:rsidR="00C42AA3" w:rsidRPr="002F43CB" w:rsidRDefault="00C42AA3" w:rsidP="00C45F99">
            <w:pPr>
              <w:widowControl/>
              <w:adjustRightInd w:val="0"/>
              <w:snapToGrid w:val="0"/>
              <w:spacing w:line="38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新北市</w:t>
            </w:r>
          </w:p>
        </w:tc>
        <w:tc>
          <w:tcPr>
            <w:tcW w:w="619" w:type="pct"/>
            <w:vAlign w:val="center"/>
          </w:tcPr>
          <w:p w:rsidR="00C42AA3" w:rsidRPr="002F43CB" w:rsidRDefault="00C42AA3" w:rsidP="00C45F99">
            <w:pPr>
              <w:widowControl/>
              <w:adjustRightInd w:val="0"/>
              <w:snapToGrid w:val="0"/>
              <w:spacing w:line="38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臺北市</w:t>
            </w:r>
          </w:p>
        </w:tc>
        <w:tc>
          <w:tcPr>
            <w:tcW w:w="618" w:type="pct"/>
            <w:vAlign w:val="center"/>
          </w:tcPr>
          <w:p w:rsidR="00C42AA3" w:rsidRPr="002F43CB" w:rsidRDefault="00C42AA3" w:rsidP="00C45F99">
            <w:pPr>
              <w:widowControl/>
              <w:adjustRightInd w:val="0"/>
              <w:snapToGrid w:val="0"/>
              <w:spacing w:line="38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桃園市</w:t>
            </w:r>
          </w:p>
        </w:tc>
        <w:tc>
          <w:tcPr>
            <w:tcW w:w="620" w:type="pct"/>
            <w:vAlign w:val="center"/>
          </w:tcPr>
          <w:p w:rsidR="00C42AA3" w:rsidRPr="002F43CB" w:rsidRDefault="00C42AA3" w:rsidP="00C45F99">
            <w:pPr>
              <w:widowControl/>
              <w:adjustRightInd w:val="0"/>
              <w:snapToGrid w:val="0"/>
              <w:spacing w:line="38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臺中市</w:t>
            </w:r>
          </w:p>
        </w:tc>
        <w:tc>
          <w:tcPr>
            <w:tcW w:w="620" w:type="pct"/>
            <w:vAlign w:val="center"/>
          </w:tcPr>
          <w:p w:rsidR="00C42AA3" w:rsidRPr="002F43CB" w:rsidRDefault="00C42AA3" w:rsidP="00C45F99">
            <w:pPr>
              <w:widowControl/>
              <w:adjustRightInd w:val="0"/>
              <w:snapToGrid w:val="0"/>
              <w:spacing w:line="38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臺南市</w:t>
            </w:r>
          </w:p>
        </w:tc>
        <w:tc>
          <w:tcPr>
            <w:tcW w:w="614" w:type="pct"/>
            <w:vAlign w:val="center"/>
          </w:tcPr>
          <w:p w:rsidR="00C42AA3" w:rsidRPr="002F43CB" w:rsidRDefault="00C42AA3" w:rsidP="00C45F99">
            <w:pPr>
              <w:widowControl/>
              <w:adjustRightInd w:val="0"/>
              <w:snapToGrid w:val="0"/>
              <w:spacing w:line="38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高雄市</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101</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1.00</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2.06</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1.18</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1.04</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0.72</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-0.42</w:t>
            </w:r>
          </w:p>
        </w:tc>
        <w:tc>
          <w:tcPr>
            <w:tcW w:w="614"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2.44</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1</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3.85</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3.92</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2.16</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6.70</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5.87</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2.89</w:t>
            </w:r>
          </w:p>
        </w:tc>
        <w:tc>
          <w:tcPr>
            <w:tcW w:w="614"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2.14</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2</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4.70</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4.94</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4.92</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7.62</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2.23</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5.43</w:t>
            </w:r>
          </w:p>
        </w:tc>
        <w:tc>
          <w:tcPr>
            <w:tcW w:w="614"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7.22</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2.56</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2.36</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2.79</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5.65</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5.00</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3.79</w:t>
            </w:r>
          </w:p>
        </w:tc>
        <w:tc>
          <w:tcPr>
            <w:tcW w:w="614"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3.90</w:t>
            </w:r>
          </w:p>
        </w:tc>
      </w:tr>
      <w:tr w:rsidR="00C42AA3" w:rsidRPr="00C422E6">
        <w:trPr>
          <w:trHeight w:val="75"/>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2.07</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3.58</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2.19</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0.15</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1.39</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1.68</w:t>
            </w:r>
          </w:p>
        </w:tc>
        <w:tc>
          <w:tcPr>
            <w:tcW w:w="614"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4.57</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1</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3.59</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2.72</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3.11</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4.98</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6.80</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4.83</w:t>
            </w:r>
          </w:p>
        </w:tc>
        <w:tc>
          <w:tcPr>
            <w:tcW w:w="614"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3.04</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2</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1.73</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2.22</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0.81</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0.80</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4.02</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2.61</w:t>
            </w:r>
          </w:p>
        </w:tc>
        <w:tc>
          <w:tcPr>
            <w:tcW w:w="614"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1.61</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2.11</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-0.56</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0.59</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2.60</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0.15</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2.66</w:t>
            </w:r>
          </w:p>
        </w:tc>
        <w:tc>
          <w:tcPr>
            <w:tcW w:w="614"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0.91</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1.43</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0.77</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-1.66</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4.09</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2.71</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1.33</w:t>
            </w:r>
          </w:p>
        </w:tc>
        <w:tc>
          <w:tcPr>
            <w:tcW w:w="614"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5.43</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1</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1.71</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-0.76</w:t>
            </w:r>
          </w:p>
        </w:tc>
        <w:tc>
          <w:tcPr>
            <w:tcW w:w="619"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-0.99</w:t>
            </w:r>
          </w:p>
        </w:tc>
        <w:tc>
          <w:tcPr>
            <w:tcW w:w="618"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-1.90</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5.77</w:t>
            </w:r>
          </w:p>
        </w:tc>
        <w:tc>
          <w:tcPr>
            <w:tcW w:w="620"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5.13</w:t>
            </w:r>
          </w:p>
        </w:tc>
        <w:tc>
          <w:tcPr>
            <w:tcW w:w="614"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1.39</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2</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-0.62</w:t>
            </w:r>
          </w:p>
        </w:tc>
        <w:tc>
          <w:tcPr>
            <w:tcW w:w="619"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0.14</w:t>
            </w:r>
          </w:p>
        </w:tc>
        <w:tc>
          <w:tcPr>
            <w:tcW w:w="619"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0.53</w:t>
            </w:r>
          </w:p>
        </w:tc>
        <w:tc>
          <w:tcPr>
            <w:tcW w:w="618"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1.19</w:t>
            </w:r>
          </w:p>
        </w:tc>
        <w:tc>
          <w:tcPr>
            <w:tcW w:w="620"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-0.17</w:t>
            </w:r>
          </w:p>
        </w:tc>
        <w:tc>
          <w:tcPr>
            <w:tcW w:w="620"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-1.26</w:t>
            </w:r>
          </w:p>
        </w:tc>
        <w:tc>
          <w:tcPr>
            <w:tcW w:w="614"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0.84</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-0.07</w:t>
            </w:r>
          </w:p>
        </w:tc>
        <w:tc>
          <w:tcPr>
            <w:tcW w:w="619"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-0.27</w:t>
            </w:r>
          </w:p>
        </w:tc>
        <w:tc>
          <w:tcPr>
            <w:tcW w:w="619"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-1.25</w:t>
            </w:r>
          </w:p>
        </w:tc>
        <w:tc>
          <w:tcPr>
            <w:tcW w:w="618"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-0.84</w:t>
            </w:r>
          </w:p>
        </w:tc>
        <w:tc>
          <w:tcPr>
            <w:tcW w:w="620"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-2.83</w:t>
            </w:r>
          </w:p>
        </w:tc>
        <w:tc>
          <w:tcPr>
            <w:tcW w:w="620"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-0.84</w:t>
            </w:r>
          </w:p>
        </w:tc>
        <w:tc>
          <w:tcPr>
            <w:tcW w:w="614"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-0.12</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lastRenderedPageBreak/>
              <w:t>104</w:t>
            </w:r>
            <w:r w:rsidRPr="00C422E6">
              <w:rPr>
                <w:rFonts w:ascii="標楷體" w:eastAsia="標楷體" w:hAnsi="標楷體" w:cs="標楷體" w:hint="eastAsia"/>
                <w:color w:val="00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8"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-0.48</w:t>
            </w:r>
          </w:p>
        </w:tc>
        <w:tc>
          <w:tcPr>
            <w:tcW w:w="619"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-1.86</w:t>
            </w:r>
          </w:p>
        </w:tc>
        <w:tc>
          <w:tcPr>
            <w:tcW w:w="619"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-3.51</w:t>
            </w:r>
          </w:p>
        </w:tc>
        <w:tc>
          <w:tcPr>
            <w:tcW w:w="618"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-0.91</w:t>
            </w:r>
          </w:p>
        </w:tc>
        <w:tc>
          <w:tcPr>
            <w:tcW w:w="620"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-1.58</w:t>
            </w:r>
          </w:p>
        </w:tc>
        <w:tc>
          <w:tcPr>
            <w:tcW w:w="620"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-0.55</w:t>
            </w:r>
          </w:p>
        </w:tc>
        <w:tc>
          <w:tcPr>
            <w:tcW w:w="614" w:type="pct"/>
            <w:vAlign w:val="center"/>
          </w:tcPr>
          <w:p w:rsidR="00C42AA3" w:rsidRPr="00C422E6" w:rsidRDefault="00C42AA3" w:rsidP="00C45F99">
            <w:pPr>
              <w:spacing w:line="38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-1.07</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FF0000"/>
                <w:kern w:val="0"/>
                <w:sz w:val="32"/>
                <w:szCs w:val="32"/>
              </w:rPr>
            </w:pPr>
            <w:r w:rsidRPr="00C422E6">
              <w:rPr>
                <w:rFonts w:ascii="標楷體" w:eastAsia="標楷體" w:hAnsi="標楷體" w:cs="標楷體"/>
                <w:color w:val="FF0000"/>
                <w:kern w:val="0"/>
                <w:sz w:val="32"/>
                <w:szCs w:val="32"/>
              </w:rPr>
              <w:t>105</w:t>
            </w:r>
            <w:r w:rsidRPr="00C422E6">
              <w:rPr>
                <w:rFonts w:ascii="標楷體" w:eastAsia="標楷體" w:hAnsi="標楷體" w:cs="標楷體" w:hint="eastAsia"/>
                <w:color w:val="FF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FF0000"/>
                <w:kern w:val="0"/>
                <w:sz w:val="32"/>
                <w:szCs w:val="32"/>
              </w:rPr>
            </w:pPr>
            <w:r w:rsidRPr="00C422E6">
              <w:rPr>
                <w:rFonts w:ascii="標楷體" w:eastAsia="標楷體" w:hAnsi="標楷體" w:cs="標楷體" w:hint="eastAsia"/>
                <w:color w:val="FF0000"/>
                <w:kern w:val="0"/>
                <w:sz w:val="32"/>
                <w:szCs w:val="32"/>
              </w:rPr>
              <w:t>第</w:t>
            </w:r>
            <w:r w:rsidRPr="00C422E6">
              <w:rPr>
                <w:rFonts w:ascii="標楷體" w:eastAsia="標楷體" w:hAnsi="標楷體" w:cs="標楷體"/>
                <w:color w:val="FF0000"/>
                <w:kern w:val="0"/>
                <w:sz w:val="32"/>
                <w:szCs w:val="32"/>
              </w:rPr>
              <w:t>1</w:t>
            </w:r>
            <w:r w:rsidRPr="00C422E6">
              <w:rPr>
                <w:rFonts w:ascii="標楷體" w:eastAsia="標楷體" w:hAnsi="標楷體" w:cs="標楷體" w:hint="eastAsia"/>
                <w:color w:val="FF0000"/>
                <w:kern w:val="0"/>
                <w:sz w:val="32"/>
                <w:szCs w:val="32"/>
              </w:rPr>
              <w:t>季</w:t>
            </w:r>
          </w:p>
        </w:tc>
        <w:tc>
          <w:tcPr>
            <w:tcW w:w="618" w:type="pct"/>
            <w:vAlign w:val="center"/>
          </w:tcPr>
          <w:p w:rsidR="00C42AA3" w:rsidRPr="00C422E6" w:rsidRDefault="00C42AA3" w:rsidP="00C45F99">
            <w:pPr>
              <w:spacing w:line="380" w:lineRule="exact"/>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-0.15</w:t>
            </w:r>
          </w:p>
        </w:tc>
        <w:tc>
          <w:tcPr>
            <w:tcW w:w="619" w:type="pct"/>
            <w:vAlign w:val="center"/>
          </w:tcPr>
          <w:p w:rsidR="00C42AA3" w:rsidRPr="00C422E6" w:rsidRDefault="00C42AA3" w:rsidP="00C45F99">
            <w:pPr>
              <w:spacing w:line="380" w:lineRule="exact"/>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-0.18</w:t>
            </w:r>
          </w:p>
        </w:tc>
        <w:tc>
          <w:tcPr>
            <w:tcW w:w="619" w:type="pct"/>
            <w:vAlign w:val="center"/>
          </w:tcPr>
          <w:p w:rsidR="00C42AA3" w:rsidRPr="00C422E6" w:rsidRDefault="00C42AA3" w:rsidP="00C45F99">
            <w:pPr>
              <w:spacing w:line="380" w:lineRule="exact"/>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-1.31</w:t>
            </w:r>
          </w:p>
        </w:tc>
        <w:tc>
          <w:tcPr>
            <w:tcW w:w="618" w:type="pct"/>
            <w:vAlign w:val="center"/>
          </w:tcPr>
          <w:p w:rsidR="00C42AA3" w:rsidRPr="00C422E6" w:rsidRDefault="00C42AA3" w:rsidP="00C45F99">
            <w:pPr>
              <w:spacing w:line="380" w:lineRule="exact"/>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-0.81</w:t>
            </w:r>
          </w:p>
        </w:tc>
        <w:tc>
          <w:tcPr>
            <w:tcW w:w="620" w:type="pct"/>
            <w:vAlign w:val="center"/>
          </w:tcPr>
          <w:p w:rsidR="00C42AA3" w:rsidRPr="00C422E6" w:rsidRDefault="00C42AA3" w:rsidP="00C45F99">
            <w:pPr>
              <w:spacing w:line="380" w:lineRule="exact"/>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-0.40</w:t>
            </w:r>
          </w:p>
        </w:tc>
        <w:tc>
          <w:tcPr>
            <w:tcW w:w="620" w:type="pct"/>
            <w:vAlign w:val="center"/>
          </w:tcPr>
          <w:p w:rsidR="00C42AA3" w:rsidRPr="00C422E6" w:rsidRDefault="00C42AA3" w:rsidP="00C45F99">
            <w:pPr>
              <w:spacing w:line="380" w:lineRule="exact"/>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-0.04</w:t>
            </w:r>
          </w:p>
        </w:tc>
        <w:tc>
          <w:tcPr>
            <w:tcW w:w="614" w:type="pct"/>
            <w:vAlign w:val="center"/>
          </w:tcPr>
          <w:p w:rsidR="00C42AA3" w:rsidRPr="00C422E6" w:rsidRDefault="00C42AA3" w:rsidP="00C45F99">
            <w:pPr>
              <w:spacing w:line="380" w:lineRule="exact"/>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-1.27</w:t>
            </w:r>
          </w:p>
        </w:tc>
      </w:tr>
      <w:tr w:rsidR="00C42AA3" w:rsidRPr="00C422E6">
        <w:trPr>
          <w:trHeight w:val="662"/>
          <w:jc w:val="center"/>
        </w:trPr>
        <w:tc>
          <w:tcPr>
            <w:tcW w:w="672" w:type="pct"/>
            <w:vAlign w:val="center"/>
          </w:tcPr>
          <w:p w:rsidR="00C42AA3" w:rsidRPr="00C422E6" w:rsidRDefault="00C42AA3" w:rsidP="00C45F99">
            <w:pPr>
              <w:widowControl/>
              <w:adjustRightInd w:val="0"/>
              <w:snapToGrid w:val="0"/>
              <w:spacing w:line="380" w:lineRule="exact"/>
              <w:jc w:val="center"/>
              <w:rPr>
                <w:rFonts w:ascii="標楷體" w:eastAsia="標楷體" w:hAnsi="標楷體" w:cs="Times New Roman"/>
                <w:color w:val="FF0000"/>
                <w:kern w:val="0"/>
                <w:sz w:val="32"/>
                <w:szCs w:val="32"/>
              </w:rPr>
            </w:pPr>
            <w:r w:rsidRPr="00C422E6">
              <w:rPr>
                <w:rFonts w:ascii="標楷體" w:eastAsia="標楷體" w:hAnsi="標楷體" w:cs="標楷體"/>
                <w:color w:val="FF0000"/>
                <w:kern w:val="0"/>
                <w:sz w:val="32"/>
                <w:szCs w:val="32"/>
              </w:rPr>
              <w:t>105</w:t>
            </w:r>
            <w:r w:rsidRPr="00C422E6">
              <w:rPr>
                <w:rFonts w:ascii="標楷體" w:eastAsia="標楷體" w:hAnsi="標楷體" w:cs="標楷體" w:hint="eastAsia"/>
                <w:color w:val="FF0000"/>
                <w:kern w:val="0"/>
                <w:sz w:val="32"/>
                <w:szCs w:val="32"/>
              </w:rPr>
              <w:t>年</w:t>
            </w:r>
          </w:p>
          <w:p w:rsidR="00C42AA3" w:rsidRPr="00C422E6" w:rsidRDefault="00C42AA3" w:rsidP="00C45F99">
            <w:pPr>
              <w:widowControl/>
              <w:adjustRightInd w:val="0"/>
              <w:snapToGrid w:val="0"/>
              <w:spacing w:line="380" w:lineRule="exact"/>
              <w:jc w:val="center"/>
              <w:rPr>
                <w:rFonts w:ascii="標楷體" w:eastAsia="標楷體" w:hAnsi="標楷體" w:cs="Times New Roman"/>
                <w:color w:val="FF0000"/>
                <w:kern w:val="0"/>
                <w:sz w:val="32"/>
                <w:szCs w:val="32"/>
              </w:rPr>
            </w:pPr>
            <w:r w:rsidRPr="00C422E6">
              <w:rPr>
                <w:rFonts w:ascii="標楷體" w:eastAsia="標楷體" w:hAnsi="標楷體" w:cs="標楷體" w:hint="eastAsia"/>
                <w:color w:val="FF0000"/>
                <w:kern w:val="0"/>
                <w:sz w:val="32"/>
                <w:szCs w:val="32"/>
              </w:rPr>
              <w:t>第</w:t>
            </w:r>
            <w:r>
              <w:rPr>
                <w:rFonts w:ascii="標楷體" w:eastAsia="標楷體" w:hAnsi="標楷體" w:cs="標楷體"/>
                <w:color w:val="FF0000"/>
                <w:kern w:val="0"/>
                <w:sz w:val="32"/>
                <w:szCs w:val="32"/>
              </w:rPr>
              <w:t>2</w:t>
            </w:r>
            <w:r w:rsidRPr="00C422E6">
              <w:rPr>
                <w:rFonts w:ascii="標楷體" w:eastAsia="標楷體" w:hAnsi="標楷體" w:cs="標楷體" w:hint="eastAsia"/>
                <w:color w:val="FF0000"/>
                <w:kern w:val="0"/>
                <w:sz w:val="32"/>
                <w:szCs w:val="32"/>
              </w:rPr>
              <w:t>季</w:t>
            </w:r>
          </w:p>
        </w:tc>
        <w:tc>
          <w:tcPr>
            <w:tcW w:w="618" w:type="pct"/>
            <w:vAlign w:val="center"/>
          </w:tcPr>
          <w:p w:rsidR="00C42AA3" w:rsidRPr="003A3EA5" w:rsidRDefault="00C42AA3" w:rsidP="003A3EA5">
            <w:pPr>
              <w:spacing w:line="380" w:lineRule="exact"/>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1.17</w:t>
            </w:r>
          </w:p>
        </w:tc>
        <w:tc>
          <w:tcPr>
            <w:tcW w:w="619" w:type="pct"/>
            <w:vAlign w:val="center"/>
          </w:tcPr>
          <w:p w:rsidR="00C42AA3" w:rsidRPr="003A3EA5" w:rsidRDefault="00C42AA3" w:rsidP="003A3EA5">
            <w:pPr>
              <w:spacing w:line="380" w:lineRule="exact"/>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-0.52</w:t>
            </w:r>
          </w:p>
        </w:tc>
        <w:tc>
          <w:tcPr>
            <w:tcW w:w="619" w:type="pct"/>
            <w:vAlign w:val="center"/>
          </w:tcPr>
          <w:p w:rsidR="00C42AA3" w:rsidRPr="003A3EA5" w:rsidRDefault="00C42AA3" w:rsidP="003A3EA5">
            <w:pPr>
              <w:spacing w:line="380" w:lineRule="exact"/>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0.20</w:t>
            </w:r>
          </w:p>
        </w:tc>
        <w:tc>
          <w:tcPr>
            <w:tcW w:w="618" w:type="pct"/>
            <w:vAlign w:val="center"/>
          </w:tcPr>
          <w:p w:rsidR="00C42AA3" w:rsidRPr="003A3EA5" w:rsidRDefault="00C42AA3" w:rsidP="003A3EA5">
            <w:pPr>
              <w:spacing w:line="380" w:lineRule="exact"/>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-2.16</w:t>
            </w:r>
          </w:p>
        </w:tc>
        <w:tc>
          <w:tcPr>
            <w:tcW w:w="620" w:type="pct"/>
            <w:vAlign w:val="center"/>
          </w:tcPr>
          <w:p w:rsidR="00C42AA3" w:rsidRPr="003A3EA5" w:rsidRDefault="00C42AA3" w:rsidP="003A3EA5">
            <w:pPr>
              <w:spacing w:line="380" w:lineRule="exact"/>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2.01</w:t>
            </w:r>
          </w:p>
        </w:tc>
        <w:tc>
          <w:tcPr>
            <w:tcW w:w="620" w:type="pct"/>
            <w:vAlign w:val="center"/>
          </w:tcPr>
          <w:p w:rsidR="00C42AA3" w:rsidRPr="003A3EA5" w:rsidRDefault="00C42AA3" w:rsidP="003A3EA5">
            <w:pPr>
              <w:spacing w:line="380" w:lineRule="exact"/>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1.64</w:t>
            </w:r>
          </w:p>
        </w:tc>
        <w:tc>
          <w:tcPr>
            <w:tcW w:w="614" w:type="pct"/>
            <w:vAlign w:val="center"/>
          </w:tcPr>
          <w:p w:rsidR="00C42AA3" w:rsidRPr="003A3EA5" w:rsidRDefault="00C42AA3" w:rsidP="003A3EA5">
            <w:pPr>
              <w:spacing w:line="380" w:lineRule="exact"/>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1.80</w:t>
            </w:r>
          </w:p>
        </w:tc>
      </w:tr>
    </w:tbl>
    <w:p w:rsidR="00C42AA3" w:rsidRPr="00C422E6" w:rsidRDefault="00C42AA3" w:rsidP="00184E16">
      <w:pPr>
        <w:spacing w:beforeLines="50" w:before="120" w:afterLines="50" w:after="120"/>
        <w:jc w:val="both"/>
        <w:rPr>
          <w:rFonts w:ascii="標楷體" w:eastAsia="標楷體" w:hAnsi="標楷體" w:cs="Times New Roman"/>
          <w:sz w:val="32"/>
          <w:szCs w:val="32"/>
        </w:rPr>
      </w:pPr>
      <w:r w:rsidRPr="00C422E6">
        <w:rPr>
          <w:rFonts w:ascii="標楷體" w:eastAsia="標楷體" w:hAnsi="標楷體" w:cs="標楷體" w:hint="eastAsia"/>
          <w:sz w:val="28"/>
          <w:szCs w:val="28"/>
        </w:rPr>
        <w:t>註：「本季對上季變動率」之計算公式：</w:t>
      </w:r>
      <w:r w:rsidRPr="00C422E6">
        <w:rPr>
          <w:rFonts w:ascii="標楷體" w:eastAsia="標楷體" w:hAnsi="標楷體" w:cs="Times New Roman"/>
          <w:position w:val="-28"/>
          <w:sz w:val="32"/>
          <w:szCs w:val="32"/>
        </w:rPr>
        <w:object w:dxaOrig="31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3pt" o:ole="">
            <v:imagedata r:id="rId8" o:title=""/>
          </v:shape>
          <o:OLEObject Type="Embed" ProgID="Equation.3" ShapeID="_x0000_i1025" DrawAspect="Content" ObjectID="_1540215058" r:id="rId9"/>
        </w:object>
      </w:r>
    </w:p>
    <w:p w:rsidR="00C42AA3" w:rsidRPr="00C422E6" w:rsidRDefault="00C42AA3" w:rsidP="00EB4BE5">
      <w:pPr>
        <w:adjustRightInd w:val="0"/>
        <w:snapToGrid w:val="0"/>
        <w:jc w:val="both"/>
        <w:outlineLvl w:val="0"/>
        <w:rPr>
          <w:rFonts w:ascii="標楷體" w:eastAsia="標楷體" w:hAnsi="標楷體" w:cs="Times New Roman"/>
          <w:sz w:val="32"/>
          <w:szCs w:val="32"/>
        </w:rPr>
      </w:pPr>
      <w:r w:rsidRPr="00C422E6">
        <w:rPr>
          <w:rFonts w:ascii="標楷體" w:eastAsia="標楷體" w:hAnsi="標楷體" w:cs="Times New Roman"/>
        </w:rPr>
        <w:br w:type="page"/>
      </w:r>
      <w:bookmarkStart w:id="6" w:name="_Toc444595135"/>
      <w:r w:rsidRPr="00C422E6">
        <w:rPr>
          <w:rFonts w:ascii="標楷體" w:eastAsia="標楷體" w:hAnsi="標楷體" w:cs="標楷體" w:hint="eastAsia"/>
          <w:sz w:val="32"/>
          <w:szCs w:val="32"/>
        </w:rPr>
        <w:lastRenderedPageBreak/>
        <w:t>表</w:t>
      </w:r>
      <w:r w:rsidRPr="00C422E6">
        <w:rPr>
          <w:rFonts w:ascii="標楷體" w:eastAsia="標楷體" w:hAnsi="標楷體" w:cs="標楷體"/>
          <w:sz w:val="32"/>
          <w:szCs w:val="32"/>
        </w:rPr>
        <w:t xml:space="preserve">3  </w:t>
      </w:r>
      <w:r w:rsidRPr="00C422E6">
        <w:rPr>
          <w:rFonts w:ascii="標楷體" w:eastAsia="標楷體" w:hAnsi="標楷體" w:cs="標楷體" w:hint="eastAsia"/>
          <w:sz w:val="32"/>
          <w:szCs w:val="32"/>
        </w:rPr>
        <w:t>全國及</w:t>
      </w:r>
      <w:r w:rsidRPr="00C422E6">
        <w:rPr>
          <w:rFonts w:ascii="標楷體" w:eastAsia="標楷體" w:hAnsi="標楷體" w:cs="標楷體"/>
          <w:sz w:val="32"/>
          <w:szCs w:val="32"/>
        </w:rPr>
        <w:t>6</w:t>
      </w:r>
      <w:r w:rsidRPr="00C422E6">
        <w:rPr>
          <w:rFonts w:ascii="標楷體" w:eastAsia="標楷體" w:hAnsi="標楷體" w:cs="標楷體" w:hint="eastAsia"/>
          <w:sz w:val="32"/>
          <w:szCs w:val="32"/>
        </w:rPr>
        <w:t>直轄市住宅價格指數相對去年同季變動率表</w:t>
      </w:r>
      <w:bookmarkEnd w:id="6"/>
    </w:p>
    <w:p w:rsidR="00C42AA3" w:rsidRPr="00C422E6" w:rsidRDefault="00C42AA3" w:rsidP="00EB4BE5">
      <w:pPr>
        <w:adjustRightInd w:val="0"/>
        <w:snapToGrid w:val="0"/>
        <w:ind w:leftChars="-23" w:left="-55" w:right="91"/>
        <w:jc w:val="both"/>
        <w:rPr>
          <w:rFonts w:ascii="標楷體" w:eastAsia="標楷體" w:hAnsi="標楷體" w:cs="Times New Roman"/>
          <w:kern w:val="0"/>
          <w:sz w:val="28"/>
          <w:szCs w:val="28"/>
        </w:rPr>
      </w:pPr>
      <w:r w:rsidRPr="00C422E6">
        <w:rPr>
          <w:rFonts w:ascii="標楷體" w:eastAsia="標楷體" w:hAnsi="標楷體" w:cs="標楷體"/>
          <w:kern w:val="0"/>
          <w:sz w:val="28"/>
          <w:szCs w:val="28"/>
        </w:rPr>
        <w:t xml:space="preserve">                                                           </w:t>
      </w:r>
      <w:r w:rsidRPr="00C422E6">
        <w:rPr>
          <w:rFonts w:ascii="標楷體" w:eastAsia="標楷體" w:hAnsi="標楷體" w:cs="標楷體" w:hint="eastAsia"/>
          <w:kern w:val="0"/>
          <w:sz w:val="28"/>
          <w:szCs w:val="28"/>
        </w:rPr>
        <w:t>單位：％</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190"/>
        <w:gridCol w:w="1190"/>
        <w:gridCol w:w="1190"/>
        <w:gridCol w:w="1190"/>
        <w:gridCol w:w="1190"/>
        <w:gridCol w:w="1190"/>
        <w:gridCol w:w="1190"/>
      </w:tblGrid>
      <w:tr w:rsidR="00C42AA3" w:rsidRPr="00C422E6">
        <w:trPr>
          <w:trHeight w:val="662"/>
          <w:jc w:val="center"/>
        </w:trPr>
        <w:tc>
          <w:tcPr>
            <w:tcW w:w="666" w:type="pct"/>
            <w:vAlign w:val="center"/>
          </w:tcPr>
          <w:p w:rsidR="00C42AA3" w:rsidRPr="00C422E6" w:rsidRDefault="00C42AA3" w:rsidP="00EB4BE5">
            <w:pPr>
              <w:widowControl/>
              <w:adjustRightInd w:val="0"/>
              <w:snapToGrid w:val="0"/>
              <w:spacing w:line="240" w:lineRule="atLeast"/>
              <w:jc w:val="both"/>
              <w:rPr>
                <w:rFonts w:ascii="標楷體" w:eastAsia="標楷體" w:hAnsi="標楷體" w:cs="Times New Roman"/>
                <w:color w:val="000000"/>
                <w:kern w:val="0"/>
                <w:sz w:val="32"/>
                <w:szCs w:val="32"/>
              </w:rPr>
            </w:pPr>
          </w:p>
        </w:tc>
        <w:tc>
          <w:tcPr>
            <w:tcW w:w="619" w:type="pct"/>
            <w:vAlign w:val="center"/>
          </w:tcPr>
          <w:p w:rsidR="00C42AA3" w:rsidRPr="00C422E6" w:rsidRDefault="00C42AA3"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全　國</w:t>
            </w:r>
          </w:p>
        </w:tc>
        <w:tc>
          <w:tcPr>
            <w:tcW w:w="619" w:type="pct"/>
            <w:vAlign w:val="center"/>
          </w:tcPr>
          <w:p w:rsidR="00C42AA3" w:rsidRPr="00C422E6" w:rsidRDefault="00C42AA3"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新北市</w:t>
            </w:r>
          </w:p>
        </w:tc>
        <w:tc>
          <w:tcPr>
            <w:tcW w:w="619" w:type="pct"/>
            <w:vAlign w:val="center"/>
          </w:tcPr>
          <w:p w:rsidR="00C42AA3" w:rsidRPr="00C422E6" w:rsidRDefault="00C42AA3"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臺北市</w:t>
            </w:r>
          </w:p>
        </w:tc>
        <w:tc>
          <w:tcPr>
            <w:tcW w:w="619" w:type="pct"/>
            <w:vAlign w:val="center"/>
          </w:tcPr>
          <w:p w:rsidR="00C42AA3" w:rsidRPr="00C422E6" w:rsidRDefault="00C42AA3"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桃園市</w:t>
            </w:r>
          </w:p>
        </w:tc>
        <w:tc>
          <w:tcPr>
            <w:tcW w:w="619" w:type="pct"/>
            <w:vAlign w:val="center"/>
          </w:tcPr>
          <w:p w:rsidR="00C42AA3" w:rsidRPr="00C422E6" w:rsidRDefault="00C42AA3"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臺中市</w:t>
            </w:r>
          </w:p>
        </w:tc>
        <w:tc>
          <w:tcPr>
            <w:tcW w:w="619" w:type="pct"/>
            <w:vAlign w:val="center"/>
          </w:tcPr>
          <w:p w:rsidR="00C42AA3" w:rsidRPr="00C422E6" w:rsidRDefault="00C42AA3"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臺南市</w:t>
            </w:r>
          </w:p>
        </w:tc>
        <w:tc>
          <w:tcPr>
            <w:tcW w:w="619" w:type="pct"/>
            <w:vAlign w:val="center"/>
          </w:tcPr>
          <w:p w:rsidR="00C42AA3" w:rsidRPr="00C422E6" w:rsidRDefault="00C42AA3"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高雄市</w:t>
            </w:r>
          </w:p>
        </w:tc>
      </w:tr>
      <w:tr w:rsidR="00C42AA3" w:rsidRPr="00C422E6">
        <w:trPr>
          <w:trHeight w:val="662"/>
          <w:jc w:val="center"/>
        </w:trPr>
        <w:tc>
          <w:tcPr>
            <w:tcW w:w="666"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12.63</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13.93</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11.49</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22.58</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14.46</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12.12</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16.56</w:t>
            </w:r>
          </w:p>
        </w:tc>
      </w:tr>
      <w:tr w:rsidR="00C42AA3" w:rsidRPr="00C422E6">
        <w:trPr>
          <w:trHeight w:val="662"/>
          <w:jc w:val="center"/>
        </w:trPr>
        <w:tc>
          <w:tcPr>
            <w:tcW w:w="666"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13.82</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15.62</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12.60</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21.50</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15.22</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14.48</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18.99</w:t>
            </w:r>
          </w:p>
        </w:tc>
      </w:tr>
      <w:tr w:rsidR="00C42AA3" w:rsidRPr="00C422E6">
        <w:trPr>
          <w:trHeight w:val="662"/>
          <w:jc w:val="center"/>
        </w:trPr>
        <w:tc>
          <w:tcPr>
            <w:tcW w:w="666"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1</w:t>
            </w:r>
            <w:r w:rsidRPr="00C422E6">
              <w:rPr>
                <w:rFonts w:ascii="標楷體" w:eastAsia="標楷體" w:hAnsi="標楷體" w:cs="標楷體" w:hint="eastAsia"/>
                <w:color w:val="000000"/>
                <w:kern w:val="0"/>
                <w:sz w:val="32"/>
                <w:szCs w:val="32"/>
              </w:rPr>
              <w:t>季</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13.53</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14.28</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13.64</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19.54</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16.23</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16.63</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20.03</w:t>
            </w:r>
          </w:p>
        </w:tc>
      </w:tr>
      <w:tr w:rsidR="00C42AA3" w:rsidRPr="00C422E6">
        <w:trPr>
          <w:trHeight w:val="662"/>
          <w:jc w:val="center"/>
        </w:trPr>
        <w:tc>
          <w:tcPr>
            <w:tcW w:w="666"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2</w:t>
            </w:r>
            <w:r w:rsidRPr="00C422E6">
              <w:rPr>
                <w:rFonts w:ascii="標楷體" w:eastAsia="標楷體" w:hAnsi="標楷體" w:cs="標楷體" w:hint="eastAsia"/>
                <w:color w:val="000000"/>
                <w:kern w:val="0"/>
                <w:sz w:val="32"/>
                <w:szCs w:val="32"/>
              </w:rPr>
              <w:t>季</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10.31</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11.31</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9.19</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11.97</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18.27</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13.52</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13.75</w:t>
            </w:r>
          </w:p>
        </w:tc>
      </w:tr>
      <w:tr w:rsidR="00C42AA3" w:rsidRPr="00C422E6">
        <w:trPr>
          <w:trHeight w:val="662"/>
          <w:jc w:val="center"/>
        </w:trPr>
        <w:tc>
          <w:tcPr>
            <w:tcW w:w="666"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9.83</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8.14</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6.85</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8.74</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12.81</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12.28</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10.48</w:t>
            </w:r>
          </w:p>
        </w:tc>
      </w:tr>
      <w:tr w:rsidR="00C42AA3" w:rsidRPr="00C422E6">
        <w:trPr>
          <w:trHeight w:val="662"/>
          <w:jc w:val="center"/>
        </w:trPr>
        <w:tc>
          <w:tcPr>
            <w:tcW w:w="666"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9.15</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5.21</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2.82</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13.02</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14.28</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11.9</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11.39</w:t>
            </w:r>
          </w:p>
        </w:tc>
      </w:tr>
      <w:tr w:rsidR="00C42AA3" w:rsidRPr="00C422E6">
        <w:trPr>
          <w:trHeight w:val="662"/>
          <w:jc w:val="center"/>
        </w:trPr>
        <w:tc>
          <w:tcPr>
            <w:tcW w:w="666"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1</w:t>
            </w:r>
            <w:r w:rsidRPr="00C422E6">
              <w:rPr>
                <w:rFonts w:ascii="標楷體" w:eastAsia="標楷體" w:hAnsi="標楷體" w:cs="標楷體" w:hint="eastAsia"/>
                <w:color w:val="000000"/>
                <w:kern w:val="0"/>
                <w:sz w:val="32"/>
                <w:szCs w:val="32"/>
              </w:rPr>
              <w:t>季</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7.17</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1.65</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-1.27</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5.61</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13.17</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12.22</w:t>
            </w:r>
          </w:p>
        </w:tc>
        <w:tc>
          <w:tcPr>
            <w:tcW w:w="619"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9.61</w:t>
            </w:r>
          </w:p>
        </w:tc>
      </w:tr>
      <w:tr w:rsidR="00C42AA3" w:rsidRPr="00C422E6">
        <w:trPr>
          <w:trHeight w:val="662"/>
          <w:jc w:val="center"/>
        </w:trPr>
        <w:tc>
          <w:tcPr>
            <w:tcW w:w="666"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2</w:t>
            </w:r>
            <w:r w:rsidRPr="00C422E6">
              <w:rPr>
                <w:rFonts w:ascii="標楷體" w:eastAsia="標楷體" w:hAnsi="標楷體" w:cs="標楷體" w:hint="eastAsia"/>
                <w:color w:val="000000"/>
                <w:kern w:val="0"/>
                <w:sz w:val="32"/>
                <w:szCs w:val="32"/>
              </w:rPr>
              <w:t>季</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4.7</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-0.42</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-1.54</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6.02</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8.61</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7.99</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8.78</w:t>
            </w:r>
          </w:p>
        </w:tc>
      </w:tr>
      <w:tr w:rsidR="00C42AA3" w:rsidRPr="00C422E6">
        <w:trPr>
          <w:trHeight w:val="662"/>
          <w:jc w:val="center"/>
        </w:trPr>
        <w:tc>
          <w:tcPr>
            <w:tcW w:w="666" w:type="pct"/>
            <w:vAlign w:val="center"/>
          </w:tcPr>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C42AA3" w:rsidRPr="00C422E6" w:rsidRDefault="00C42AA3"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2.46</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-0.13</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-3.34</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2.47</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5.38</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4.30</w:t>
            </w:r>
          </w:p>
        </w:tc>
        <w:tc>
          <w:tcPr>
            <w:tcW w:w="619" w:type="pct"/>
            <w:vAlign w:val="center"/>
          </w:tcPr>
          <w:p w:rsidR="00C42AA3" w:rsidRPr="00C422E6" w:rsidRDefault="00C42AA3"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7.67</w:t>
            </w:r>
          </w:p>
        </w:tc>
      </w:tr>
      <w:tr w:rsidR="00C42AA3" w:rsidRPr="00C422E6">
        <w:trPr>
          <w:trHeight w:val="662"/>
          <w:jc w:val="center"/>
        </w:trPr>
        <w:tc>
          <w:tcPr>
            <w:tcW w:w="666" w:type="pct"/>
            <w:vAlign w:val="center"/>
          </w:tcPr>
          <w:p w:rsidR="00C42AA3" w:rsidRPr="00C422E6" w:rsidRDefault="00C42AA3" w:rsidP="00616B1F">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C42AA3" w:rsidRPr="00C422E6" w:rsidRDefault="00C42AA3" w:rsidP="00616B1F">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9" w:type="pct"/>
            <w:vAlign w:val="center"/>
          </w:tcPr>
          <w:p w:rsidR="00C42AA3" w:rsidRPr="00C422E6" w:rsidRDefault="00C42AA3"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0.53</w:t>
            </w:r>
          </w:p>
        </w:tc>
        <w:tc>
          <w:tcPr>
            <w:tcW w:w="619" w:type="pct"/>
            <w:vAlign w:val="center"/>
          </w:tcPr>
          <w:p w:rsidR="00C42AA3" w:rsidRPr="00C422E6" w:rsidRDefault="00C42AA3"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-2.73</w:t>
            </w:r>
          </w:p>
        </w:tc>
        <w:tc>
          <w:tcPr>
            <w:tcW w:w="619" w:type="pct"/>
            <w:vAlign w:val="center"/>
          </w:tcPr>
          <w:p w:rsidR="00C42AA3" w:rsidRPr="00C422E6" w:rsidRDefault="00C42AA3"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-5.16</w:t>
            </w:r>
          </w:p>
        </w:tc>
        <w:tc>
          <w:tcPr>
            <w:tcW w:w="619" w:type="pct"/>
            <w:vAlign w:val="center"/>
          </w:tcPr>
          <w:p w:rsidR="00C42AA3" w:rsidRPr="00C422E6" w:rsidRDefault="00C42AA3"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-2.45</w:t>
            </w:r>
          </w:p>
        </w:tc>
        <w:tc>
          <w:tcPr>
            <w:tcW w:w="619" w:type="pct"/>
            <w:vAlign w:val="center"/>
          </w:tcPr>
          <w:p w:rsidR="00C42AA3" w:rsidRPr="00C422E6" w:rsidRDefault="00C42AA3"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0.98</w:t>
            </w:r>
          </w:p>
        </w:tc>
        <w:tc>
          <w:tcPr>
            <w:tcW w:w="619" w:type="pct"/>
            <w:vAlign w:val="center"/>
          </w:tcPr>
          <w:p w:rsidR="00C42AA3" w:rsidRPr="00C422E6" w:rsidRDefault="00C42AA3"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2.37</w:t>
            </w:r>
          </w:p>
        </w:tc>
        <w:tc>
          <w:tcPr>
            <w:tcW w:w="619" w:type="pct"/>
            <w:vAlign w:val="center"/>
          </w:tcPr>
          <w:p w:rsidR="00C42AA3" w:rsidRPr="00C422E6" w:rsidRDefault="00C42AA3"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1.02</w:t>
            </w:r>
          </w:p>
        </w:tc>
      </w:tr>
      <w:tr w:rsidR="00C42AA3" w:rsidRPr="00C422E6">
        <w:trPr>
          <w:trHeight w:val="662"/>
          <w:jc w:val="center"/>
        </w:trPr>
        <w:tc>
          <w:tcPr>
            <w:tcW w:w="666" w:type="pct"/>
            <w:vAlign w:val="center"/>
          </w:tcPr>
          <w:p w:rsidR="00C42AA3" w:rsidRPr="00C422E6" w:rsidRDefault="00C42AA3" w:rsidP="005A34F9">
            <w:pPr>
              <w:widowControl/>
              <w:adjustRightInd w:val="0"/>
              <w:snapToGrid w:val="0"/>
              <w:spacing w:line="240" w:lineRule="atLeast"/>
              <w:jc w:val="center"/>
              <w:rPr>
                <w:rFonts w:ascii="標楷體" w:eastAsia="標楷體" w:hAnsi="標楷體" w:cs="Times New Roman"/>
                <w:color w:val="FF0000"/>
                <w:kern w:val="0"/>
                <w:sz w:val="32"/>
                <w:szCs w:val="32"/>
              </w:rPr>
            </w:pPr>
            <w:r w:rsidRPr="00C422E6">
              <w:rPr>
                <w:rFonts w:ascii="標楷體" w:eastAsia="標楷體" w:hAnsi="標楷體" w:cs="標楷體"/>
                <w:color w:val="FF0000"/>
                <w:kern w:val="0"/>
                <w:sz w:val="32"/>
                <w:szCs w:val="32"/>
              </w:rPr>
              <w:t>105</w:t>
            </w:r>
            <w:r w:rsidRPr="00C422E6">
              <w:rPr>
                <w:rFonts w:ascii="標楷體" w:eastAsia="標楷體" w:hAnsi="標楷體" w:cs="標楷體" w:hint="eastAsia"/>
                <w:color w:val="FF0000"/>
                <w:kern w:val="0"/>
                <w:sz w:val="32"/>
                <w:szCs w:val="32"/>
              </w:rPr>
              <w:t>年</w:t>
            </w:r>
          </w:p>
          <w:p w:rsidR="00C42AA3" w:rsidRPr="00C422E6" w:rsidRDefault="00C42AA3" w:rsidP="005A34F9">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FF0000"/>
                <w:kern w:val="0"/>
                <w:sz w:val="32"/>
                <w:szCs w:val="32"/>
              </w:rPr>
              <w:t>第</w:t>
            </w:r>
            <w:r w:rsidRPr="00C422E6">
              <w:rPr>
                <w:rFonts w:ascii="標楷體" w:eastAsia="標楷體" w:hAnsi="標楷體" w:cs="標楷體"/>
                <w:color w:val="FF0000"/>
                <w:kern w:val="0"/>
                <w:sz w:val="32"/>
                <w:szCs w:val="32"/>
              </w:rPr>
              <w:t>1</w:t>
            </w:r>
            <w:r w:rsidRPr="00C422E6">
              <w:rPr>
                <w:rFonts w:ascii="標楷體" w:eastAsia="標楷體" w:hAnsi="標楷體" w:cs="標楷體" w:hint="eastAsia"/>
                <w:color w:val="FF0000"/>
                <w:kern w:val="0"/>
                <w:sz w:val="32"/>
                <w:szCs w:val="32"/>
              </w:rPr>
              <w:t>季</w:t>
            </w:r>
          </w:p>
        </w:tc>
        <w:tc>
          <w:tcPr>
            <w:tcW w:w="619" w:type="pct"/>
            <w:vAlign w:val="center"/>
          </w:tcPr>
          <w:p w:rsidR="00C42AA3" w:rsidRPr="00C422E6" w:rsidRDefault="00C42AA3" w:rsidP="005A34F9">
            <w:pPr>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-1.31</w:t>
            </w:r>
          </w:p>
        </w:tc>
        <w:tc>
          <w:tcPr>
            <w:tcW w:w="619" w:type="pct"/>
            <w:vAlign w:val="center"/>
          </w:tcPr>
          <w:p w:rsidR="00C42AA3" w:rsidRPr="00C422E6" w:rsidRDefault="00C42AA3" w:rsidP="005A34F9">
            <w:pPr>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-2.16</w:t>
            </w:r>
          </w:p>
        </w:tc>
        <w:tc>
          <w:tcPr>
            <w:tcW w:w="619" w:type="pct"/>
            <w:vAlign w:val="center"/>
          </w:tcPr>
          <w:p w:rsidR="00C42AA3" w:rsidRPr="00C422E6" w:rsidRDefault="00C42AA3" w:rsidP="005A34F9">
            <w:pPr>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-5.46</w:t>
            </w:r>
          </w:p>
        </w:tc>
        <w:tc>
          <w:tcPr>
            <w:tcW w:w="619" w:type="pct"/>
            <w:vAlign w:val="center"/>
          </w:tcPr>
          <w:p w:rsidR="00C42AA3" w:rsidRPr="00C422E6" w:rsidRDefault="00C42AA3" w:rsidP="005A34F9">
            <w:pPr>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-1.38</w:t>
            </w:r>
          </w:p>
        </w:tc>
        <w:tc>
          <w:tcPr>
            <w:tcW w:w="619" w:type="pct"/>
            <w:vAlign w:val="center"/>
          </w:tcPr>
          <w:p w:rsidR="00C42AA3" w:rsidRPr="00C422E6" w:rsidRDefault="00C42AA3" w:rsidP="005A34F9">
            <w:pPr>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-4.92</w:t>
            </w:r>
          </w:p>
        </w:tc>
        <w:tc>
          <w:tcPr>
            <w:tcW w:w="619" w:type="pct"/>
            <w:vAlign w:val="center"/>
          </w:tcPr>
          <w:p w:rsidR="00C42AA3" w:rsidRPr="00C422E6" w:rsidRDefault="00C42AA3" w:rsidP="005A34F9">
            <w:pPr>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-2.67</w:t>
            </w:r>
          </w:p>
        </w:tc>
        <w:tc>
          <w:tcPr>
            <w:tcW w:w="619" w:type="pct"/>
            <w:vAlign w:val="center"/>
          </w:tcPr>
          <w:p w:rsidR="00C42AA3" w:rsidRPr="00C422E6" w:rsidRDefault="00C42AA3" w:rsidP="005A34F9">
            <w:pPr>
              <w:jc w:val="center"/>
              <w:rPr>
                <w:rFonts w:ascii="標楷體" w:eastAsia="標楷體" w:hAnsi="標楷體" w:cs="標楷體"/>
                <w:color w:val="FF0000"/>
                <w:kern w:val="0"/>
                <w:sz w:val="32"/>
                <w:szCs w:val="32"/>
              </w:rPr>
            </w:pPr>
            <w:r w:rsidRPr="00C422E6">
              <w:rPr>
                <w:rFonts w:ascii="標楷體" w:eastAsia="標楷體" w:hAnsi="標楷體" w:cs="標楷體"/>
                <w:color w:val="FF0000"/>
                <w:kern w:val="0"/>
                <w:sz w:val="32"/>
                <w:szCs w:val="32"/>
              </w:rPr>
              <w:t>-1.63</w:t>
            </w:r>
          </w:p>
        </w:tc>
      </w:tr>
      <w:tr w:rsidR="00C42AA3" w:rsidRPr="00C422E6">
        <w:trPr>
          <w:trHeight w:val="662"/>
          <w:jc w:val="center"/>
        </w:trPr>
        <w:tc>
          <w:tcPr>
            <w:tcW w:w="666" w:type="pct"/>
            <w:vAlign w:val="center"/>
          </w:tcPr>
          <w:p w:rsidR="00C42AA3" w:rsidRPr="00C422E6" w:rsidRDefault="00C42AA3" w:rsidP="00C45F99">
            <w:pPr>
              <w:widowControl/>
              <w:adjustRightInd w:val="0"/>
              <w:snapToGrid w:val="0"/>
              <w:spacing w:line="240" w:lineRule="atLeast"/>
              <w:jc w:val="center"/>
              <w:rPr>
                <w:rFonts w:ascii="標楷體" w:eastAsia="標楷體" w:hAnsi="標楷體" w:cs="Times New Roman"/>
                <w:color w:val="FF0000"/>
                <w:kern w:val="0"/>
                <w:sz w:val="32"/>
                <w:szCs w:val="32"/>
              </w:rPr>
            </w:pPr>
            <w:r w:rsidRPr="00C422E6">
              <w:rPr>
                <w:rFonts w:ascii="標楷體" w:eastAsia="標楷體" w:hAnsi="標楷體" w:cs="標楷體"/>
                <w:color w:val="FF0000"/>
                <w:kern w:val="0"/>
                <w:sz w:val="32"/>
                <w:szCs w:val="32"/>
              </w:rPr>
              <w:t>105</w:t>
            </w:r>
            <w:r w:rsidRPr="00C422E6">
              <w:rPr>
                <w:rFonts w:ascii="標楷體" w:eastAsia="標楷體" w:hAnsi="標楷體" w:cs="標楷體" w:hint="eastAsia"/>
                <w:color w:val="FF0000"/>
                <w:kern w:val="0"/>
                <w:sz w:val="32"/>
                <w:szCs w:val="32"/>
              </w:rPr>
              <w:t>年</w:t>
            </w:r>
          </w:p>
          <w:p w:rsidR="00C42AA3" w:rsidRPr="00C422E6" w:rsidRDefault="00C42AA3" w:rsidP="00C45F99">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FF0000"/>
                <w:kern w:val="0"/>
                <w:sz w:val="32"/>
                <w:szCs w:val="32"/>
              </w:rPr>
              <w:t>第</w:t>
            </w:r>
            <w:r>
              <w:rPr>
                <w:rFonts w:ascii="標楷體" w:eastAsia="標楷體" w:hAnsi="標楷體" w:cs="標楷體"/>
                <w:color w:val="FF0000"/>
                <w:kern w:val="0"/>
                <w:sz w:val="32"/>
                <w:szCs w:val="32"/>
              </w:rPr>
              <w:t>2</w:t>
            </w:r>
            <w:r w:rsidRPr="00C422E6">
              <w:rPr>
                <w:rFonts w:ascii="標楷體" w:eastAsia="標楷體" w:hAnsi="標楷體" w:cs="標楷體" w:hint="eastAsia"/>
                <w:color w:val="FF0000"/>
                <w:kern w:val="0"/>
                <w:sz w:val="32"/>
                <w:szCs w:val="32"/>
              </w:rPr>
              <w:t>季</w:t>
            </w:r>
          </w:p>
        </w:tc>
        <w:tc>
          <w:tcPr>
            <w:tcW w:w="619" w:type="pct"/>
            <w:vAlign w:val="center"/>
          </w:tcPr>
          <w:p w:rsidR="00C42AA3" w:rsidRPr="003A3EA5" w:rsidRDefault="00C42AA3">
            <w:pPr>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0.46</w:t>
            </w:r>
          </w:p>
        </w:tc>
        <w:tc>
          <w:tcPr>
            <w:tcW w:w="619" w:type="pct"/>
            <w:vAlign w:val="center"/>
          </w:tcPr>
          <w:p w:rsidR="00C42AA3" w:rsidRPr="003A3EA5" w:rsidRDefault="00C42AA3">
            <w:pPr>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-2.81</w:t>
            </w:r>
          </w:p>
        </w:tc>
        <w:tc>
          <w:tcPr>
            <w:tcW w:w="619" w:type="pct"/>
            <w:vAlign w:val="center"/>
          </w:tcPr>
          <w:p w:rsidR="00C42AA3" w:rsidRPr="003A3EA5" w:rsidRDefault="00C42AA3">
            <w:pPr>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-5.77</w:t>
            </w:r>
          </w:p>
        </w:tc>
        <w:tc>
          <w:tcPr>
            <w:tcW w:w="619" w:type="pct"/>
            <w:vAlign w:val="center"/>
          </w:tcPr>
          <w:p w:rsidR="00C42AA3" w:rsidRPr="003A3EA5" w:rsidRDefault="00C42AA3">
            <w:pPr>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-4.65</w:t>
            </w:r>
          </w:p>
        </w:tc>
        <w:tc>
          <w:tcPr>
            <w:tcW w:w="619" w:type="pct"/>
            <w:vAlign w:val="center"/>
          </w:tcPr>
          <w:p w:rsidR="00C42AA3" w:rsidRPr="003A3EA5" w:rsidRDefault="00C42AA3">
            <w:pPr>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-2.84</w:t>
            </w:r>
          </w:p>
        </w:tc>
        <w:tc>
          <w:tcPr>
            <w:tcW w:w="619" w:type="pct"/>
            <w:vAlign w:val="center"/>
          </w:tcPr>
          <w:p w:rsidR="00C42AA3" w:rsidRPr="003A3EA5" w:rsidRDefault="00C42AA3">
            <w:pPr>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0.18</w:t>
            </w:r>
          </w:p>
        </w:tc>
        <w:tc>
          <w:tcPr>
            <w:tcW w:w="619" w:type="pct"/>
            <w:vAlign w:val="center"/>
          </w:tcPr>
          <w:p w:rsidR="00C42AA3" w:rsidRPr="003A3EA5" w:rsidRDefault="00C42AA3">
            <w:pPr>
              <w:jc w:val="center"/>
              <w:rPr>
                <w:rFonts w:ascii="標楷體" w:eastAsia="標楷體" w:hAnsi="標楷體" w:cs="標楷體"/>
                <w:color w:val="FF0000"/>
                <w:kern w:val="0"/>
                <w:sz w:val="32"/>
                <w:szCs w:val="32"/>
              </w:rPr>
            </w:pPr>
            <w:r w:rsidRPr="003A3EA5">
              <w:rPr>
                <w:rFonts w:ascii="標楷體" w:eastAsia="標楷體" w:hAnsi="標楷體" w:cs="標楷體"/>
                <w:color w:val="FF0000"/>
                <w:kern w:val="0"/>
                <w:sz w:val="32"/>
                <w:szCs w:val="32"/>
              </w:rPr>
              <w:t>-0.70</w:t>
            </w:r>
          </w:p>
        </w:tc>
      </w:tr>
    </w:tbl>
    <w:p w:rsidR="00C42AA3" w:rsidRPr="00C422E6" w:rsidRDefault="00C42AA3" w:rsidP="00184E16">
      <w:pPr>
        <w:spacing w:beforeLines="50" w:before="120" w:afterLines="50" w:after="120"/>
        <w:jc w:val="both"/>
        <w:rPr>
          <w:rFonts w:ascii="標楷體" w:eastAsia="標楷體" w:hAnsi="標楷體" w:cs="Times New Roman"/>
          <w:sz w:val="28"/>
          <w:szCs w:val="28"/>
        </w:rPr>
      </w:pPr>
      <w:r w:rsidRPr="00C422E6">
        <w:rPr>
          <w:rFonts w:ascii="標楷體" w:eastAsia="標楷體" w:hAnsi="標楷體" w:cs="標楷體" w:hint="eastAsia"/>
          <w:sz w:val="28"/>
          <w:szCs w:val="28"/>
        </w:rPr>
        <w:lastRenderedPageBreak/>
        <w:t>註：「本季對去年同季變動率」之計算公式：</w:t>
      </w:r>
      <w:r w:rsidRPr="00C422E6">
        <w:rPr>
          <w:rFonts w:ascii="標楷體" w:eastAsia="標楷體" w:hAnsi="標楷體" w:cs="標楷體"/>
          <w:sz w:val="32"/>
          <w:szCs w:val="32"/>
        </w:rPr>
        <w:t xml:space="preserve"> </w:t>
      </w:r>
      <w:r w:rsidRPr="00C422E6">
        <w:rPr>
          <w:rFonts w:ascii="標楷體" w:eastAsia="標楷體" w:hAnsi="標楷體" w:cs="Times New Roman"/>
          <w:position w:val="-28"/>
          <w:sz w:val="32"/>
          <w:szCs w:val="32"/>
        </w:rPr>
        <w:object w:dxaOrig="3640" w:dyaOrig="660">
          <v:shape id="_x0000_i1026" type="#_x0000_t75" style="width:182.25pt;height:33pt" o:ole="">
            <v:imagedata r:id="rId10" o:title=""/>
          </v:shape>
          <o:OLEObject Type="Embed" ProgID="Equation.3" ShapeID="_x0000_i1026" DrawAspect="Content" ObjectID="_1540215059" r:id="rId11"/>
        </w:object>
      </w:r>
    </w:p>
    <w:p w:rsidR="00C42AA3" w:rsidRPr="00C422E6" w:rsidRDefault="00C42AA3" w:rsidP="00EB4BE5">
      <w:pPr>
        <w:adjustRightInd w:val="0"/>
        <w:snapToGrid w:val="0"/>
        <w:jc w:val="both"/>
        <w:outlineLvl w:val="0"/>
        <w:rPr>
          <w:rFonts w:ascii="標楷體" w:eastAsia="標楷體" w:hAnsi="標楷體" w:cs="Times New Roman"/>
          <w:b/>
          <w:bCs/>
          <w:color w:val="FF0000"/>
          <w:sz w:val="32"/>
          <w:szCs w:val="32"/>
        </w:rPr>
      </w:pPr>
      <w:r w:rsidRPr="00C422E6">
        <w:rPr>
          <w:rFonts w:ascii="標楷體" w:eastAsia="標楷體" w:hAnsi="標楷體" w:cs="Times New Roman"/>
          <w:sz w:val="28"/>
          <w:szCs w:val="28"/>
        </w:rPr>
        <w:br w:type="page"/>
      </w:r>
      <w:bookmarkStart w:id="7" w:name="_Toc444595136"/>
      <w:r w:rsidRPr="00C422E6">
        <w:rPr>
          <w:rFonts w:ascii="標楷體" w:eastAsia="標楷體" w:hAnsi="標楷體" w:cs="標楷體" w:hint="eastAsia"/>
          <w:b/>
          <w:bCs/>
          <w:color w:val="FF0000"/>
          <w:sz w:val="32"/>
          <w:szCs w:val="32"/>
        </w:rPr>
        <w:lastRenderedPageBreak/>
        <w:t>肆、住宅價格指數圖</w:t>
      </w:r>
      <w:bookmarkEnd w:id="7"/>
    </w:p>
    <w:p w:rsidR="00C42AA3" w:rsidRPr="00C422E6" w:rsidRDefault="00E7104A" w:rsidP="00F00968">
      <w:pPr>
        <w:adjustRightInd w:val="0"/>
        <w:snapToGrid w:val="0"/>
        <w:spacing w:line="240" w:lineRule="atLeast"/>
        <w:jc w:val="center"/>
        <w:rPr>
          <w:rFonts w:ascii="標楷體" w:eastAsia="標楷體" w:hAnsi="標楷體" w:cs="Times New Roman"/>
          <w:noProof/>
          <w:color w:val="FF0000"/>
        </w:rPr>
      </w:pPr>
      <w:r>
        <w:rPr>
          <w:rFonts w:cs="Times New Roman"/>
          <w:noProof/>
        </w:rPr>
        <w:pict>
          <v:shape id="圖表 4" o:spid="_x0000_i1027" type="#_x0000_t75" style="width:444pt;height:191.25pt;visibility:visible">
            <v:imagedata r:id="rId12" o:title=""/>
            <o:lock v:ext="edit" aspectratio="f"/>
          </v:shape>
        </w:pict>
      </w:r>
      <w:r w:rsidR="006776FF">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23.25pt;margin-top:24.55pt;width:103.75pt;height:18.4pt;z-index:1;visibility:visible;mso-position-horizontal-relative:text;mso-position-vertical-relative:text" filled="f" stroked="f">
            <v:textbox style="mso-next-textbox:#文字方塊 2">
              <w:txbxContent>
                <w:p w:rsidR="00C42AA3" w:rsidRPr="009A31EB" w:rsidRDefault="00C42AA3" w:rsidP="00E10F2E">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C42AA3" w:rsidRPr="00C422E6" w:rsidRDefault="00C42AA3" w:rsidP="00184E16">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bookmarkStart w:id="8" w:name="_Toc444595137"/>
      <w:r w:rsidRPr="00C422E6">
        <w:rPr>
          <w:rFonts w:ascii="標楷體" w:eastAsia="標楷體" w:hAnsi="標楷體" w:cs="標楷體" w:hint="eastAsia"/>
          <w:noProof/>
          <w:color w:val="FF0000"/>
          <w:sz w:val="32"/>
          <w:szCs w:val="32"/>
        </w:rPr>
        <w:t>圖</w:t>
      </w:r>
      <w:r w:rsidRPr="00C422E6">
        <w:rPr>
          <w:rFonts w:ascii="標楷體" w:eastAsia="標楷體" w:hAnsi="標楷體" w:cs="標楷體"/>
          <w:noProof/>
          <w:color w:val="FF0000"/>
          <w:sz w:val="32"/>
          <w:szCs w:val="32"/>
        </w:rPr>
        <w:t>1</w:t>
      </w:r>
      <w:r w:rsidRPr="00C422E6">
        <w:rPr>
          <w:rFonts w:ascii="標楷體" w:eastAsia="標楷體" w:hAnsi="標楷體" w:cs="標楷體" w:hint="eastAsia"/>
          <w:noProof/>
          <w:color w:val="FF0000"/>
          <w:sz w:val="32"/>
          <w:szCs w:val="32"/>
        </w:rPr>
        <w:t xml:space="preserve">　全國住宅價格指數趨勢圖</w:t>
      </w:r>
      <w:bookmarkEnd w:id="8"/>
    </w:p>
    <w:p w:rsidR="00C42AA3" w:rsidRPr="00C422E6" w:rsidRDefault="00E7104A" w:rsidP="00F00968">
      <w:pPr>
        <w:adjustRightInd w:val="0"/>
        <w:snapToGrid w:val="0"/>
        <w:spacing w:line="240" w:lineRule="atLeast"/>
        <w:jc w:val="center"/>
        <w:rPr>
          <w:rFonts w:ascii="標楷體" w:eastAsia="標楷體" w:hAnsi="標楷體" w:cs="Times New Roman"/>
          <w:noProof/>
          <w:color w:val="FF0000"/>
        </w:rPr>
      </w:pPr>
      <w:r>
        <w:rPr>
          <w:rFonts w:cs="Times New Roman"/>
          <w:noProof/>
        </w:rPr>
        <w:pict>
          <v:shape id="圖表 5" o:spid="_x0000_i1028" type="#_x0000_t75" style="width:444pt;height:191.25pt;visibility:visible">
            <v:imagedata r:id="rId13" o:title=""/>
            <o:lock v:ext="edit" aspectratio="f"/>
          </v:shape>
        </w:pict>
      </w:r>
      <w:r w:rsidR="006776FF">
        <w:rPr>
          <w:noProof/>
        </w:rPr>
        <w:pict>
          <v:shape id="_x0000_s1027" type="#_x0000_t202" style="position:absolute;left:0;text-align:left;margin-left:323.25pt;margin-top:22.85pt;width:103.75pt;height:18.4pt;z-index:2;visibility:visible;mso-position-horizontal-relative:text;mso-position-vertical-relative:text" filled="f" stroked="f">
            <v:textbox style="mso-next-textbox:#_x0000_s1027">
              <w:txbxContent>
                <w:p w:rsidR="00C42AA3" w:rsidRPr="009A31EB" w:rsidRDefault="00C42AA3" w:rsidP="00CB20C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C42AA3" w:rsidRPr="00C422E6" w:rsidRDefault="00C42AA3" w:rsidP="00184E16">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bookmarkStart w:id="9" w:name="_Toc444595138"/>
      <w:r w:rsidRPr="00C422E6">
        <w:rPr>
          <w:rFonts w:ascii="標楷體" w:eastAsia="標楷體" w:hAnsi="標楷體" w:cs="標楷體" w:hint="eastAsia"/>
          <w:noProof/>
          <w:color w:val="FF0000"/>
          <w:sz w:val="32"/>
          <w:szCs w:val="32"/>
        </w:rPr>
        <w:t>圖</w:t>
      </w:r>
      <w:r w:rsidRPr="00C422E6">
        <w:rPr>
          <w:rFonts w:ascii="標楷體" w:eastAsia="標楷體" w:hAnsi="標楷體" w:cs="標楷體"/>
          <w:noProof/>
          <w:color w:val="FF0000"/>
          <w:sz w:val="32"/>
          <w:szCs w:val="32"/>
        </w:rPr>
        <w:t>2</w:t>
      </w:r>
      <w:r w:rsidRPr="00C422E6">
        <w:rPr>
          <w:rFonts w:ascii="標楷體" w:eastAsia="標楷體" w:hAnsi="標楷體" w:cs="標楷體" w:hint="eastAsia"/>
          <w:noProof/>
          <w:color w:val="FF0000"/>
          <w:sz w:val="32"/>
          <w:szCs w:val="32"/>
        </w:rPr>
        <w:t xml:space="preserve">　新北市住宅價格指數趨勢圖</w:t>
      </w:r>
      <w:bookmarkEnd w:id="9"/>
    </w:p>
    <w:p w:rsidR="00C42AA3" w:rsidRPr="00C422E6" w:rsidRDefault="00E7104A" w:rsidP="00F00968">
      <w:pPr>
        <w:widowControl/>
        <w:adjustRightInd w:val="0"/>
        <w:snapToGrid w:val="0"/>
        <w:spacing w:line="240" w:lineRule="atLeast"/>
        <w:jc w:val="center"/>
        <w:rPr>
          <w:rFonts w:ascii="標楷體" w:eastAsia="標楷體" w:hAnsi="標楷體" w:cs="Times New Roman"/>
          <w:noProof/>
          <w:color w:val="FF0000"/>
        </w:rPr>
      </w:pPr>
      <w:r>
        <w:rPr>
          <w:rFonts w:cs="Times New Roman"/>
          <w:noProof/>
        </w:rPr>
        <w:lastRenderedPageBreak/>
        <w:pict>
          <v:shape id="圖表 6" o:spid="_x0000_i1029" type="#_x0000_t75" style="width:444pt;height:191.25pt;visibility:visible">
            <v:imagedata r:id="rId14" o:title=""/>
            <o:lock v:ext="edit" aspectratio="f"/>
          </v:shape>
        </w:pict>
      </w:r>
      <w:r w:rsidR="006776FF">
        <w:rPr>
          <w:noProof/>
        </w:rPr>
        <w:pict>
          <v:shape id="_x0000_s1028" type="#_x0000_t202" style="position:absolute;left:0;text-align:left;margin-left:323.25pt;margin-top:22.25pt;width:103.75pt;height:18.4pt;z-index:3;visibility:visible;mso-position-horizontal-relative:text;mso-position-vertical-relative:text" filled="f" stroked="f">
            <v:textbox style="mso-next-textbox:#_x0000_s1028">
              <w:txbxContent>
                <w:p w:rsidR="00C42AA3" w:rsidRPr="009A31EB" w:rsidRDefault="00C42AA3"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C42AA3" w:rsidRPr="00C422E6" w:rsidRDefault="00C42AA3" w:rsidP="00184E16">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bookmarkStart w:id="10" w:name="_Toc444595139"/>
      <w:r w:rsidRPr="00C422E6">
        <w:rPr>
          <w:rFonts w:ascii="標楷體" w:eastAsia="標楷體" w:hAnsi="標楷體" w:cs="標楷體" w:hint="eastAsia"/>
          <w:noProof/>
          <w:color w:val="FF0000"/>
          <w:sz w:val="32"/>
          <w:szCs w:val="32"/>
        </w:rPr>
        <w:t>圖</w:t>
      </w:r>
      <w:r w:rsidRPr="00C422E6">
        <w:rPr>
          <w:rFonts w:ascii="標楷體" w:eastAsia="標楷體" w:hAnsi="標楷體" w:cs="標楷體"/>
          <w:noProof/>
          <w:color w:val="FF0000"/>
          <w:sz w:val="32"/>
          <w:szCs w:val="32"/>
        </w:rPr>
        <w:t>3</w:t>
      </w:r>
      <w:r w:rsidRPr="00C422E6">
        <w:rPr>
          <w:rFonts w:ascii="標楷體" w:eastAsia="標楷體" w:hAnsi="標楷體" w:cs="標楷體" w:hint="eastAsia"/>
          <w:noProof/>
          <w:color w:val="FF0000"/>
          <w:sz w:val="32"/>
          <w:szCs w:val="32"/>
        </w:rPr>
        <w:t xml:space="preserve">　臺北市住宅價格指數趨勢圖</w:t>
      </w:r>
      <w:bookmarkEnd w:id="10"/>
    </w:p>
    <w:p w:rsidR="00C42AA3" w:rsidRPr="00C422E6" w:rsidRDefault="00E7104A" w:rsidP="00F00968">
      <w:pPr>
        <w:adjustRightInd w:val="0"/>
        <w:snapToGrid w:val="0"/>
        <w:spacing w:line="240" w:lineRule="atLeast"/>
        <w:jc w:val="center"/>
        <w:rPr>
          <w:rFonts w:ascii="標楷體" w:eastAsia="標楷體" w:hAnsi="標楷體" w:cs="Times New Roman"/>
          <w:noProof/>
          <w:color w:val="FF0000"/>
        </w:rPr>
      </w:pPr>
      <w:r>
        <w:rPr>
          <w:rFonts w:cs="Times New Roman"/>
          <w:noProof/>
        </w:rPr>
        <w:pict>
          <v:shape id="圖表 7" o:spid="_x0000_i1030" type="#_x0000_t75" style="width:442.5pt;height:192pt;visibility:visible">
            <v:imagedata r:id="rId15" o:title=""/>
            <o:lock v:ext="edit" aspectratio="f"/>
          </v:shape>
        </w:pict>
      </w:r>
      <w:r w:rsidR="006776FF">
        <w:rPr>
          <w:noProof/>
        </w:rPr>
        <w:pict>
          <v:shape id="_x0000_s1029" type="#_x0000_t202" style="position:absolute;left:0;text-align:left;margin-left:323.25pt;margin-top:21.35pt;width:103.75pt;height:18.4pt;z-index:4;visibility:visible;mso-position-horizontal-relative:text;mso-position-vertical-relative:text" filled="f" stroked="f">
            <v:textbox style="mso-next-textbox:#_x0000_s1029">
              <w:txbxContent>
                <w:p w:rsidR="00C42AA3" w:rsidRPr="009A31EB" w:rsidRDefault="00C42AA3"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C42AA3" w:rsidRPr="00C422E6" w:rsidRDefault="00C42AA3" w:rsidP="00184E16">
      <w:pPr>
        <w:adjustRightInd w:val="0"/>
        <w:snapToGrid w:val="0"/>
        <w:spacing w:beforeLines="30" w:before="72" w:afterLines="80" w:after="192" w:line="240" w:lineRule="atLeast"/>
        <w:jc w:val="center"/>
        <w:outlineLvl w:val="0"/>
        <w:rPr>
          <w:rFonts w:ascii="標楷體" w:eastAsia="標楷體" w:hAnsi="標楷體" w:cs="Times New Roman"/>
          <w:b/>
          <w:bCs/>
          <w:color w:val="FF0000"/>
          <w:kern w:val="0"/>
          <w:sz w:val="26"/>
          <w:szCs w:val="26"/>
        </w:rPr>
      </w:pPr>
      <w:bookmarkStart w:id="11" w:name="_Toc444595140"/>
      <w:r w:rsidRPr="00C422E6">
        <w:rPr>
          <w:rFonts w:ascii="標楷體" w:eastAsia="標楷體" w:hAnsi="標楷體" w:cs="標楷體" w:hint="eastAsia"/>
          <w:noProof/>
          <w:color w:val="FF0000"/>
          <w:sz w:val="32"/>
          <w:szCs w:val="32"/>
        </w:rPr>
        <w:t>圖</w:t>
      </w:r>
      <w:r w:rsidRPr="00C422E6">
        <w:rPr>
          <w:rFonts w:ascii="標楷體" w:eastAsia="標楷體" w:hAnsi="標楷體" w:cs="標楷體"/>
          <w:noProof/>
          <w:color w:val="FF0000"/>
          <w:sz w:val="32"/>
          <w:szCs w:val="32"/>
        </w:rPr>
        <w:t>4</w:t>
      </w:r>
      <w:r w:rsidRPr="00C422E6">
        <w:rPr>
          <w:rFonts w:ascii="標楷體" w:eastAsia="標楷體" w:hAnsi="標楷體" w:cs="標楷體" w:hint="eastAsia"/>
          <w:noProof/>
          <w:color w:val="FF0000"/>
          <w:sz w:val="32"/>
          <w:szCs w:val="32"/>
        </w:rPr>
        <w:t xml:space="preserve">　桃園市住宅價格指數趨勢圖</w:t>
      </w:r>
      <w:bookmarkEnd w:id="11"/>
    </w:p>
    <w:p w:rsidR="00C42AA3" w:rsidRPr="00C422E6" w:rsidRDefault="00E7104A" w:rsidP="00AB45AD">
      <w:pPr>
        <w:adjustRightInd w:val="0"/>
        <w:snapToGrid w:val="0"/>
        <w:spacing w:line="240" w:lineRule="atLeast"/>
        <w:jc w:val="center"/>
        <w:rPr>
          <w:rFonts w:ascii="標楷體" w:eastAsia="標楷體" w:hAnsi="標楷體" w:cs="Times New Roman"/>
          <w:noProof/>
          <w:color w:val="FF0000"/>
        </w:rPr>
      </w:pPr>
      <w:r>
        <w:rPr>
          <w:rFonts w:cs="Times New Roman"/>
          <w:noProof/>
        </w:rPr>
        <w:lastRenderedPageBreak/>
        <w:pict>
          <v:shape id="圖表 8" o:spid="_x0000_i1031" type="#_x0000_t75" style="width:441.75pt;height:192pt;visibility:visible">
            <v:imagedata r:id="rId16" o:title=""/>
            <o:lock v:ext="edit" aspectratio="f"/>
          </v:shape>
        </w:pict>
      </w:r>
      <w:r w:rsidR="006776FF">
        <w:rPr>
          <w:noProof/>
        </w:rPr>
        <w:pict>
          <v:shape id="_x0000_s1030" type="#_x0000_t202" style="position:absolute;left:0;text-align:left;margin-left:323.25pt;margin-top:22.6pt;width:103.75pt;height:18.4pt;z-index:5;visibility:visible;mso-position-horizontal-relative:text;mso-position-vertical-relative:text" filled="f" stroked="f">
            <v:textbox style="mso-next-textbox:#_x0000_s1030">
              <w:txbxContent>
                <w:p w:rsidR="00C42AA3" w:rsidRPr="009A31EB" w:rsidRDefault="00C42AA3"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C42AA3" w:rsidRPr="00C422E6" w:rsidRDefault="00C42AA3" w:rsidP="00184E16">
      <w:pPr>
        <w:adjustRightInd w:val="0"/>
        <w:snapToGrid w:val="0"/>
        <w:spacing w:beforeLines="30" w:before="72" w:afterLines="80" w:after="192" w:line="240" w:lineRule="atLeast"/>
        <w:jc w:val="center"/>
        <w:outlineLvl w:val="0"/>
        <w:rPr>
          <w:rFonts w:ascii="標楷體" w:eastAsia="標楷體" w:hAnsi="標楷體" w:cs="Times New Roman"/>
          <w:b/>
          <w:bCs/>
          <w:color w:val="FF0000"/>
          <w:kern w:val="0"/>
          <w:sz w:val="26"/>
          <w:szCs w:val="26"/>
        </w:rPr>
      </w:pPr>
      <w:bookmarkStart w:id="12" w:name="_Toc444595141"/>
      <w:r w:rsidRPr="00C422E6">
        <w:rPr>
          <w:rFonts w:ascii="標楷體" w:eastAsia="標楷體" w:hAnsi="標楷體" w:cs="標楷體" w:hint="eastAsia"/>
          <w:noProof/>
          <w:color w:val="FF0000"/>
          <w:sz w:val="32"/>
          <w:szCs w:val="32"/>
        </w:rPr>
        <w:t>圖</w:t>
      </w:r>
      <w:r w:rsidRPr="00C422E6">
        <w:rPr>
          <w:rFonts w:ascii="標楷體" w:eastAsia="標楷體" w:hAnsi="標楷體" w:cs="標楷體"/>
          <w:noProof/>
          <w:color w:val="FF0000"/>
          <w:sz w:val="32"/>
          <w:szCs w:val="32"/>
        </w:rPr>
        <w:t>5</w:t>
      </w:r>
      <w:r w:rsidRPr="00C422E6">
        <w:rPr>
          <w:rFonts w:ascii="標楷體" w:eastAsia="標楷體" w:hAnsi="標楷體" w:cs="標楷體" w:hint="eastAsia"/>
          <w:noProof/>
          <w:color w:val="FF0000"/>
          <w:sz w:val="32"/>
          <w:szCs w:val="32"/>
        </w:rPr>
        <w:t xml:space="preserve">　臺中市住宅價格指數趨勢圖</w:t>
      </w:r>
      <w:bookmarkEnd w:id="12"/>
    </w:p>
    <w:p w:rsidR="00C42AA3" w:rsidRPr="00C422E6" w:rsidRDefault="00E7104A" w:rsidP="00F00968">
      <w:pPr>
        <w:adjustRightInd w:val="0"/>
        <w:snapToGrid w:val="0"/>
        <w:spacing w:line="240" w:lineRule="atLeast"/>
        <w:jc w:val="center"/>
        <w:rPr>
          <w:rFonts w:ascii="標楷體" w:eastAsia="標楷體" w:hAnsi="標楷體" w:cs="Times New Roman"/>
          <w:noProof/>
          <w:color w:val="FF0000"/>
        </w:rPr>
      </w:pPr>
      <w:r>
        <w:rPr>
          <w:rFonts w:cs="Times New Roman"/>
          <w:noProof/>
        </w:rPr>
        <w:pict>
          <v:shape id="圖表 9" o:spid="_x0000_i1032" type="#_x0000_t75" style="width:441.75pt;height:192pt;visibility:visible">
            <v:imagedata r:id="rId17" o:title=""/>
            <o:lock v:ext="edit" aspectratio="f"/>
          </v:shape>
        </w:pict>
      </w:r>
      <w:r w:rsidR="006776FF">
        <w:rPr>
          <w:noProof/>
        </w:rPr>
        <w:pict>
          <v:shape id="_x0000_s1031" type="#_x0000_t202" style="position:absolute;left:0;text-align:left;margin-left:323.25pt;margin-top:22.25pt;width:103.75pt;height:18.4pt;z-index:6;visibility:visible;mso-position-horizontal-relative:text;mso-position-vertical-relative:text" filled="f" stroked="f">
            <v:textbox style="mso-next-textbox:#_x0000_s1031">
              <w:txbxContent>
                <w:p w:rsidR="00C42AA3" w:rsidRPr="009A31EB" w:rsidRDefault="00C42AA3" w:rsidP="00614410">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C42AA3" w:rsidRPr="00C422E6" w:rsidRDefault="00C42AA3" w:rsidP="00184E16">
      <w:pPr>
        <w:adjustRightInd w:val="0"/>
        <w:snapToGrid w:val="0"/>
        <w:spacing w:beforeLines="30" w:before="72" w:afterLines="80" w:after="192" w:line="240" w:lineRule="atLeast"/>
        <w:jc w:val="center"/>
        <w:outlineLvl w:val="0"/>
        <w:rPr>
          <w:rFonts w:ascii="標楷體" w:eastAsia="標楷體" w:hAnsi="標楷體" w:cs="Times New Roman"/>
          <w:b/>
          <w:bCs/>
          <w:color w:val="FF0000"/>
          <w:kern w:val="0"/>
          <w:sz w:val="26"/>
          <w:szCs w:val="26"/>
        </w:rPr>
      </w:pPr>
      <w:bookmarkStart w:id="13" w:name="_Toc444595142"/>
      <w:r w:rsidRPr="00C422E6">
        <w:rPr>
          <w:rFonts w:ascii="標楷體" w:eastAsia="標楷體" w:hAnsi="標楷體" w:cs="標楷體" w:hint="eastAsia"/>
          <w:noProof/>
          <w:color w:val="FF0000"/>
          <w:sz w:val="32"/>
          <w:szCs w:val="32"/>
        </w:rPr>
        <w:t>圖</w:t>
      </w:r>
      <w:r w:rsidRPr="00C422E6">
        <w:rPr>
          <w:rFonts w:ascii="標楷體" w:eastAsia="標楷體" w:hAnsi="標楷體" w:cs="標楷體"/>
          <w:noProof/>
          <w:color w:val="FF0000"/>
          <w:sz w:val="32"/>
          <w:szCs w:val="32"/>
        </w:rPr>
        <w:t>6</w:t>
      </w:r>
      <w:r w:rsidRPr="00C422E6">
        <w:rPr>
          <w:rFonts w:ascii="標楷體" w:eastAsia="標楷體" w:hAnsi="標楷體" w:cs="標楷體" w:hint="eastAsia"/>
          <w:noProof/>
          <w:color w:val="FF0000"/>
          <w:sz w:val="32"/>
          <w:szCs w:val="32"/>
        </w:rPr>
        <w:t xml:space="preserve">　臺南市住宅價格指數趨勢圖</w:t>
      </w:r>
      <w:bookmarkEnd w:id="13"/>
    </w:p>
    <w:p w:rsidR="00C42AA3" w:rsidRPr="00C422E6" w:rsidRDefault="00E7104A" w:rsidP="00F00968">
      <w:pPr>
        <w:widowControl/>
        <w:overflowPunct w:val="0"/>
        <w:autoSpaceDE w:val="0"/>
        <w:autoSpaceDN w:val="0"/>
        <w:adjustRightInd w:val="0"/>
        <w:snapToGrid w:val="0"/>
        <w:spacing w:line="240" w:lineRule="atLeast"/>
        <w:jc w:val="center"/>
        <w:textAlignment w:val="baseline"/>
        <w:rPr>
          <w:rFonts w:ascii="標楷體" w:eastAsia="標楷體" w:hAnsi="標楷體" w:cs="Times New Roman"/>
          <w:color w:val="FF0000"/>
          <w:kern w:val="0"/>
          <w:sz w:val="26"/>
          <w:szCs w:val="26"/>
        </w:rPr>
      </w:pPr>
      <w:r>
        <w:rPr>
          <w:rFonts w:cs="Times New Roman"/>
          <w:noProof/>
        </w:rPr>
        <w:lastRenderedPageBreak/>
        <w:pict>
          <v:shape id="圖表 10" o:spid="_x0000_i1033" type="#_x0000_t75" style="width:441.75pt;height:192pt;visibility:visible">
            <v:imagedata r:id="rId18" o:title=""/>
            <o:lock v:ext="edit" aspectratio="f"/>
          </v:shape>
        </w:pict>
      </w:r>
      <w:r w:rsidR="006776FF">
        <w:rPr>
          <w:noProof/>
        </w:rPr>
        <w:pict>
          <v:shape id="_x0000_s1032" type="#_x0000_t202" style="position:absolute;left:0;text-align:left;margin-left:323.25pt;margin-top:21.75pt;width:103.75pt;height:18.4pt;z-index:7;visibility:visible;mso-position-horizontal-relative:text;mso-position-vertical-relative:text" filled="f" stroked="f">
            <v:textbox style="mso-next-textbox:#_x0000_s1032">
              <w:txbxContent>
                <w:p w:rsidR="00C42AA3" w:rsidRPr="009A31EB" w:rsidRDefault="00C42AA3" w:rsidP="00614410">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C42AA3" w:rsidRPr="00C422E6" w:rsidRDefault="00C42AA3" w:rsidP="00184E16">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bookmarkStart w:id="14" w:name="_Toc444595143"/>
      <w:r w:rsidRPr="00C422E6">
        <w:rPr>
          <w:rFonts w:ascii="標楷體" w:eastAsia="標楷體" w:hAnsi="標楷體" w:cs="標楷體" w:hint="eastAsia"/>
          <w:noProof/>
          <w:color w:val="FF0000"/>
          <w:sz w:val="32"/>
          <w:szCs w:val="32"/>
        </w:rPr>
        <w:t>圖</w:t>
      </w:r>
      <w:r w:rsidRPr="00C422E6">
        <w:rPr>
          <w:rFonts w:ascii="標楷體" w:eastAsia="標楷體" w:hAnsi="標楷體" w:cs="標楷體"/>
          <w:noProof/>
          <w:color w:val="FF0000"/>
          <w:sz w:val="32"/>
          <w:szCs w:val="32"/>
        </w:rPr>
        <w:t>7</w:t>
      </w:r>
      <w:r w:rsidRPr="00C422E6">
        <w:rPr>
          <w:rFonts w:ascii="標楷體" w:eastAsia="標楷體" w:hAnsi="標楷體" w:cs="標楷體" w:hint="eastAsia"/>
          <w:noProof/>
          <w:color w:val="FF0000"/>
          <w:sz w:val="32"/>
          <w:szCs w:val="32"/>
        </w:rPr>
        <w:t xml:space="preserve">　高雄市住宅價格指數趨勢圖</w:t>
      </w:r>
      <w:bookmarkEnd w:id="14"/>
    </w:p>
    <w:p w:rsidR="00C42AA3" w:rsidRPr="00C422E6" w:rsidRDefault="00C42AA3" w:rsidP="00184E16">
      <w:pPr>
        <w:adjustRightInd w:val="0"/>
        <w:snapToGrid w:val="0"/>
        <w:spacing w:afterLines="50" w:after="120" w:line="500" w:lineRule="atLeast"/>
        <w:jc w:val="both"/>
        <w:outlineLvl w:val="0"/>
        <w:rPr>
          <w:rFonts w:ascii="標楷體" w:eastAsia="標楷體" w:hAnsi="標楷體" w:cs="Times New Roman"/>
          <w:b/>
          <w:bCs/>
          <w:sz w:val="32"/>
          <w:szCs w:val="32"/>
        </w:rPr>
      </w:pPr>
      <w:r w:rsidRPr="00C422E6">
        <w:rPr>
          <w:rFonts w:ascii="標楷體" w:eastAsia="標楷體" w:hAnsi="標楷體" w:cs="Times New Roman"/>
          <w:noProof/>
          <w:sz w:val="32"/>
          <w:szCs w:val="32"/>
        </w:rPr>
        <w:br w:type="page"/>
      </w:r>
      <w:bookmarkStart w:id="15" w:name="_Toc444595144"/>
      <w:r w:rsidRPr="00C422E6">
        <w:rPr>
          <w:rFonts w:ascii="標楷體" w:eastAsia="標楷體" w:hAnsi="標楷體" w:cs="標楷體" w:hint="eastAsia"/>
          <w:b/>
          <w:bCs/>
          <w:sz w:val="32"/>
          <w:szCs w:val="32"/>
        </w:rPr>
        <w:lastRenderedPageBreak/>
        <w:t>附錄一、住宅價格指數編製說明</w:t>
      </w:r>
      <w:bookmarkEnd w:id="15"/>
    </w:p>
    <w:p w:rsidR="00C42AA3" w:rsidRPr="00C422E6" w:rsidRDefault="00C42AA3" w:rsidP="00184E16">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一、統計範圍及對象：全國及</w:t>
      </w:r>
      <w:r w:rsidRPr="00C422E6">
        <w:rPr>
          <w:rFonts w:ascii="標楷體" w:eastAsia="標楷體" w:hAnsi="標楷體" w:cs="標楷體"/>
          <w:sz w:val="32"/>
          <w:szCs w:val="32"/>
        </w:rPr>
        <w:t>6</w:t>
      </w:r>
      <w:r w:rsidRPr="00C422E6">
        <w:rPr>
          <w:rFonts w:ascii="標楷體" w:eastAsia="標楷體" w:hAnsi="標楷體" w:cs="標楷體" w:hint="eastAsia"/>
          <w:sz w:val="32"/>
          <w:szCs w:val="32"/>
        </w:rPr>
        <w:t>直轄市屋齡</w:t>
      </w:r>
      <w:r w:rsidRPr="00C422E6">
        <w:rPr>
          <w:rFonts w:ascii="標楷體" w:eastAsia="標楷體" w:hAnsi="標楷體" w:cs="標楷體"/>
          <w:sz w:val="32"/>
          <w:szCs w:val="32"/>
        </w:rPr>
        <w:t>0.5</w:t>
      </w:r>
      <w:r w:rsidRPr="00C422E6">
        <w:rPr>
          <w:rFonts w:ascii="標楷體" w:eastAsia="標楷體" w:hAnsi="標楷體" w:cs="標楷體" w:hint="eastAsia"/>
          <w:sz w:val="32"/>
          <w:szCs w:val="32"/>
        </w:rPr>
        <w:t>～</w:t>
      </w:r>
      <w:r w:rsidRPr="00C422E6">
        <w:rPr>
          <w:rFonts w:ascii="標楷體" w:eastAsia="標楷體" w:hAnsi="標楷體" w:cs="標楷體"/>
          <w:sz w:val="32"/>
          <w:szCs w:val="32"/>
        </w:rPr>
        <w:t>60</w:t>
      </w:r>
      <w:r w:rsidRPr="00C422E6">
        <w:rPr>
          <w:rFonts w:ascii="標楷體" w:eastAsia="標楷體" w:hAnsi="標楷體" w:cs="標楷體" w:hint="eastAsia"/>
          <w:sz w:val="32"/>
          <w:szCs w:val="32"/>
        </w:rPr>
        <w:t>年之住宅。</w:t>
      </w:r>
    </w:p>
    <w:p w:rsidR="00C42AA3" w:rsidRPr="00C422E6" w:rsidRDefault="00C42AA3" w:rsidP="00184E16">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二、發布時間：每季審查會結束後</w:t>
      </w:r>
      <w:r w:rsidRPr="00C422E6">
        <w:rPr>
          <w:rFonts w:ascii="標楷體" w:eastAsia="標楷體" w:hAnsi="標楷體" w:cs="標楷體"/>
          <w:sz w:val="32"/>
          <w:szCs w:val="32"/>
        </w:rPr>
        <w:t>2</w:t>
      </w:r>
      <w:r w:rsidRPr="00C422E6">
        <w:rPr>
          <w:rFonts w:ascii="標楷體" w:eastAsia="標楷體" w:hAnsi="標楷體" w:cs="標楷體" w:hint="eastAsia"/>
          <w:sz w:val="32"/>
          <w:szCs w:val="32"/>
        </w:rPr>
        <w:t>週內。</w:t>
      </w:r>
    </w:p>
    <w:p w:rsidR="00C42AA3" w:rsidRPr="00C422E6" w:rsidRDefault="00C42AA3" w:rsidP="00184E16">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三、分類標準：全國及</w:t>
      </w:r>
      <w:r w:rsidRPr="00C422E6">
        <w:rPr>
          <w:rFonts w:ascii="標楷體" w:eastAsia="標楷體" w:hAnsi="標楷體" w:cs="標楷體"/>
          <w:sz w:val="32"/>
          <w:szCs w:val="32"/>
        </w:rPr>
        <w:t>6</w:t>
      </w:r>
      <w:r w:rsidRPr="00C422E6">
        <w:rPr>
          <w:rFonts w:ascii="標楷體" w:eastAsia="標楷體" w:hAnsi="標楷體" w:cs="標楷體" w:hint="eastAsia"/>
          <w:sz w:val="32"/>
          <w:szCs w:val="32"/>
        </w:rPr>
        <w:t>直轄市住宅價格指數。</w:t>
      </w:r>
    </w:p>
    <w:p w:rsidR="00C42AA3" w:rsidRPr="00C422E6" w:rsidRDefault="00C42AA3" w:rsidP="00184E16">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四、基期：以</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年全年為基期（指數＝</w:t>
      </w:r>
      <w:r w:rsidRPr="00C422E6">
        <w:rPr>
          <w:rFonts w:ascii="標楷體" w:eastAsia="標楷體" w:hAnsi="標楷體" w:cs="標楷體"/>
          <w:sz w:val="32"/>
          <w:szCs w:val="32"/>
        </w:rPr>
        <w:t>100</w:t>
      </w:r>
      <w:r w:rsidRPr="00C422E6">
        <w:rPr>
          <w:rFonts w:ascii="標楷體" w:eastAsia="標楷體" w:hAnsi="標楷體" w:cs="標楷體" w:hint="eastAsia"/>
          <w:sz w:val="32"/>
          <w:szCs w:val="32"/>
        </w:rPr>
        <w:t>）。</w:t>
      </w:r>
    </w:p>
    <w:p w:rsidR="00C42AA3" w:rsidRPr="00C422E6" w:rsidRDefault="00C42AA3" w:rsidP="00184E16">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五、編製方法：</w:t>
      </w:r>
    </w:p>
    <w:p w:rsidR="00C42AA3" w:rsidRPr="00C422E6" w:rsidRDefault="00C42AA3" w:rsidP="00EB4BE5">
      <w:pPr>
        <w:widowControl/>
        <w:spacing w:line="500" w:lineRule="atLeast"/>
        <w:ind w:leftChars="270" w:left="648"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本指數採用國際間通用的特徵價格法，以「標準住宅」（即以基準期間之交易住宅特徵《如建坪、屋齡……等住宅構成特徵》的平均數所形成的虛擬住宅，代表基期的標準化住宅品質，作為住宅價格指數計算時的權重，也是衡量相同品質住宅價格變動的工具），做為衡量整體住宅的價格變動，藉此克服過去國人慣用平均房價所存在的住宅品質不一致所產生的問題。</w:t>
      </w:r>
    </w:p>
    <w:p w:rsidR="00C42AA3" w:rsidRPr="00C422E6" w:rsidRDefault="00C42AA3" w:rsidP="00EB4BE5">
      <w:pPr>
        <w:widowControl/>
        <w:spacing w:line="500" w:lineRule="atLeast"/>
        <w:ind w:leftChars="140" w:left="336"/>
        <w:jc w:val="both"/>
        <w:rPr>
          <w:rFonts w:ascii="標楷體" w:eastAsia="標楷體" w:hAnsi="標楷體" w:cs="Times New Roman"/>
          <w:sz w:val="32"/>
          <w:szCs w:val="32"/>
        </w:rPr>
      </w:pPr>
      <w:r w:rsidRPr="00C422E6">
        <w:rPr>
          <w:rFonts w:ascii="標楷體" w:eastAsia="標楷體" w:hAnsi="標楷體" w:cs="標楷體" w:hint="eastAsia"/>
          <w:sz w:val="32"/>
          <w:szCs w:val="32"/>
        </w:rPr>
        <w:t>（一）設定各編製地區基期與標準住宅：</w:t>
      </w:r>
    </w:p>
    <w:p w:rsidR="00C42AA3" w:rsidRPr="00C422E6" w:rsidRDefault="00C42AA3" w:rsidP="00EB4BE5">
      <w:pPr>
        <w:widowControl/>
        <w:spacing w:line="500" w:lineRule="atLeast"/>
        <w:ind w:leftChars="540" w:left="1296"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住宅價格指數以民國</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年全年為基期，將基期內所有住宅交易的主要品質</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如建坪、屋齡……等</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的平均數，組成「標準住宅」（例如新北市標準住宅的面積設定為</w:t>
      </w:r>
      <w:r w:rsidRPr="00C422E6">
        <w:rPr>
          <w:rFonts w:ascii="標楷體" w:eastAsia="標楷體" w:hAnsi="標楷體" w:cs="標楷體"/>
          <w:sz w:val="32"/>
          <w:szCs w:val="32"/>
        </w:rPr>
        <w:t>32</w:t>
      </w:r>
      <w:r w:rsidRPr="00C422E6">
        <w:rPr>
          <w:rFonts w:ascii="標楷體" w:eastAsia="標楷體" w:hAnsi="標楷體" w:cs="標楷體" w:hint="eastAsia"/>
          <w:sz w:val="32"/>
          <w:szCs w:val="32"/>
        </w:rPr>
        <w:t>坪，屋齡為</w:t>
      </w:r>
      <w:r w:rsidRPr="00C422E6">
        <w:rPr>
          <w:rFonts w:ascii="標楷體" w:eastAsia="標楷體" w:hAnsi="標楷體" w:cs="標楷體"/>
          <w:sz w:val="32"/>
          <w:szCs w:val="32"/>
        </w:rPr>
        <w:t>16</w:t>
      </w:r>
      <w:r w:rsidRPr="00C422E6">
        <w:rPr>
          <w:rFonts w:ascii="標楷體" w:eastAsia="標楷體" w:hAnsi="標楷體" w:cs="標楷體" w:hint="eastAsia"/>
          <w:sz w:val="32"/>
          <w:szCs w:val="32"/>
        </w:rPr>
        <w:t>年，另含其他屬性條件），代表該縣市在民國</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年的住宅交易的典型。</w:t>
      </w:r>
    </w:p>
    <w:p w:rsidR="00C42AA3" w:rsidRPr="00C422E6" w:rsidRDefault="00C42AA3" w:rsidP="00EB4BE5">
      <w:pPr>
        <w:widowControl/>
        <w:spacing w:line="500" w:lineRule="atLeast"/>
        <w:ind w:leftChars="140" w:left="336"/>
        <w:jc w:val="both"/>
        <w:rPr>
          <w:rFonts w:ascii="標楷體" w:eastAsia="標楷體" w:hAnsi="標楷體" w:cs="Times New Roman"/>
          <w:sz w:val="32"/>
          <w:szCs w:val="32"/>
        </w:rPr>
      </w:pPr>
      <w:r w:rsidRPr="00C422E6">
        <w:rPr>
          <w:rFonts w:ascii="標楷體" w:eastAsia="標楷體" w:hAnsi="標楷體" w:cs="標楷體" w:hint="eastAsia"/>
          <w:sz w:val="32"/>
          <w:szCs w:val="32"/>
        </w:rPr>
        <w:t>（二）住宅價格指數計算方式：</w:t>
      </w:r>
    </w:p>
    <w:p w:rsidR="00C42AA3" w:rsidRPr="00C422E6" w:rsidRDefault="00C42AA3" w:rsidP="00EB4BE5">
      <w:pPr>
        <w:widowControl/>
        <w:spacing w:line="500" w:lineRule="atLeast"/>
        <w:ind w:leftChars="540" w:left="1296"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lastRenderedPageBreak/>
        <w:t>指數的計算採用拉氏（</w:t>
      </w:r>
      <w:r w:rsidRPr="00C422E6">
        <w:rPr>
          <w:rFonts w:ascii="標楷體" w:eastAsia="標楷體" w:hAnsi="標楷體" w:cs="標楷體"/>
          <w:sz w:val="32"/>
          <w:szCs w:val="32"/>
        </w:rPr>
        <w:t>Laspeyres</w:t>
      </w:r>
      <w:r w:rsidRPr="00C422E6">
        <w:rPr>
          <w:rFonts w:ascii="標楷體" w:eastAsia="標楷體" w:hAnsi="標楷體" w:cs="標楷體" w:hint="eastAsia"/>
          <w:sz w:val="32"/>
          <w:szCs w:val="32"/>
        </w:rPr>
        <w:t>）公式，以估計標準住宅在各季的總價，與基期估計的標準住宅總價相除，並轉為以基期</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民國</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為</w:t>
      </w:r>
      <w:r w:rsidRPr="00C422E6">
        <w:rPr>
          <w:rFonts w:ascii="標楷體" w:eastAsia="標楷體" w:hAnsi="標楷體" w:cs="標楷體"/>
          <w:sz w:val="32"/>
          <w:szCs w:val="32"/>
        </w:rPr>
        <w:t>100</w:t>
      </w:r>
      <w:r w:rsidRPr="00C422E6">
        <w:rPr>
          <w:rFonts w:ascii="標楷體" w:eastAsia="標楷體" w:hAnsi="標楷體" w:cs="標楷體" w:hint="eastAsia"/>
          <w:sz w:val="32"/>
          <w:szCs w:val="32"/>
        </w:rPr>
        <w:t>的指數數列。</w:t>
      </w:r>
    </w:p>
    <w:p w:rsidR="00C42AA3" w:rsidRPr="00C422E6" w:rsidRDefault="00C42AA3" w:rsidP="00EB4BE5">
      <w:pPr>
        <w:widowControl/>
        <w:spacing w:line="500" w:lineRule="atLeast"/>
        <w:ind w:leftChars="540" w:left="1296"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例如，假設民國</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年（基期）標準住宅估計總價為</w:t>
      </w:r>
      <w:r w:rsidRPr="00C422E6">
        <w:rPr>
          <w:rFonts w:ascii="標楷體" w:eastAsia="標楷體" w:hAnsi="標楷體" w:cs="標楷體"/>
          <w:sz w:val="32"/>
          <w:szCs w:val="32"/>
        </w:rPr>
        <w:t>1,000</w:t>
      </w:r>
      <w:r w:rsidRPr="00C422E6">
        <w:rPr>
          <w:rFonts w:ascii="標楷體" w:eastAsia="標楷體" w:hAnsi="標楷體" w:cs="標楷體" w:hint="eastAsia"/>
          <w:sz w:val="32"/>
          <w:szCs w:val="32"/>
        </w:rPr>
        <w:t>萬元，</w:t>
      </w:r>
      <w:r w:rsidRPr="00C422E6">
        <w:rPr>
          <w:rFonts w:ascii="標楷體" w:eastAsia="標楷體" w:hAnsi="標楷體" w:cs="標楷體"/>
          <w:sz w:val="32"/>
          <w:szCs w:val="32"/>
        </w:rPr>
        <w:t>103</w:t>
      </w:r>
      <w:r w:rsidRPr="00C422E6">
        <w:rPr>
          <w:rFonts w:ascii="標楷體" w:eastAsia="標楷體" w:hAnsi="標楷體" w:cs="標楷體" w:hint="eastAsia"/>
          <w:sz w:val="32"/>
          <w:szCs w:val="32"/>
        </w:rPr>
        <w:t>年第</w:t>
      </w:r>
      <w:r w:rsidRPr="00C422E6">
        <w:rPr>
          <w:rFonts w:ascii="標楷體" w:eastAsia="標楷體" w:hAnsi="標楷體" w:cs="標楷體"/>
          <w:sz w:val="32"/>
          <w:szCs w:val="32"/>
        </w:rPr>
        <w:t>4</w:t>
      </w:r>
      <w:r w:rsidRPr="00C422E6">
        <w:rPr>
          <w:rFonts w:ascii="標楷體" w:eastAsia="標楷體" w:hAnsi="標楷體" w:cs="標楷體" w:hint="eastAsia"/>
          <w:sz w:val="32"/>
          <w:szCs w:val="32"/>
        </w:rPr>
        <w:t>季標準住宅估計總價為</w:t>
      </w:r>
      <w:r w:rsidRPr="00C422E6">
        <w:rPr>
          <w:rFonts w:ascii="標楷體" w:eastAsia="標楷體" w:hAnsi="標楷體" w:cs="標楷體"/>
          <w:sz w:val="32"/>
          <w:szCs w:val="32"/>
        </w:rPr>
        <w:t>1,050</w:t>
      </w:r>
      <w:r w:rsidRPr="00C422E6">
        <w:rPr>
          <w:rFonts w:ascii="標楷體" w:eastAsia="標楷體" w:hAnsi="標楷體" w:cs="標楷體" w:hint="eastAsia"/>
          <w:sz w:val="32"/>
          <w:szCs w:val="32"/>
        </w:rPr>
        <w:t>萬元，因基期的住宅價格指數設定為</w:t>
      </w:r>
      <w:r w:rsidRPr="00C422E6">
        <w:rPr>
          <w:rFonts w:ascii="標楷體" w:eastAsia="標楷體" w:hAnsi="標楷體" w:cs="標楷體"/>
          <w:sz w:val="32"/>
          <w:szCs w:val="32"/>
        </w:rPr>
        <w:t>100</w:t>
      </w:r>
      <w:r w:rsidRPr="00C422E6">
        <w:rPr>
          <w:rFonts w:ascii="標楷體" w:eastAsia="標楷體" w:hAnsi="標楷體" w:cs="標楷體" w:hint="eastAsia"/>
          <w:sz w:val="32"/>
          <w:szCs w:val="32"/>
        </w:rPr>
        <w:t>，故</w:t>
      </w:r>
      <w:r w:rsidRPr="00C422E6">
        <w:rPr>
          <w:rFonts w:ascii="標楷體" w:eastAsia="標楷體" w:hAnsi="標楷體" w:cs="標楷體"/>
          <w:sz w:val="32"/>
          <w:szCs w:val="32"/>
        </w:rPr>
        <w:t>103</w:t>
      </w:r>
      <w:r w:rsidRPr="00C422E6">
        <w:rPr>
          <w:rFonts w:ascii="標楷體" w:eastAsia="標楷體" w:hAnsi="標楷體" w:cs="標楷體" w:hint="eastAsia"/>
          <w:sz w:val="32"/>
          <w:szCs w:val="32"/>
        </w:rPr>
        <w:t>年第</w:t>
      </w:r>
      <w:r w:rsidRPr="00C422E6">
        <w:rPr>
          <w:rFonts w:ascii="標楷體" w:eastAsia="標楷體" w:hAnsi="標楷體" w:cs="標楷體"/>
          <w:sz w:val="32"/>
          <w:szCs w:val="32"/>
        </w:rPr>
        <w:t>4</w:t>
      </w:r>
      <w:r w:rsidRPr="00C422E6">
        <w:rPr>
          <w:rFonts w:ascii="標楷體" w:eastAsia="標楷體" w:hAnsi="標楷體" w:cs="標楷體" w:hint="eastAsia"/>
          <w:sz w:val="32"/>
          <w:szCs w:val="32"/>
        </w:rPr>
        <w:t>季住宅價格指數為</w:t>
      </w:r>
      <w:r w:rsidRPr="00C422E6">
        <w:rPr>
          <w:rFonts w:ascii="標楷體" w:eastAsia="標楷體" w:hAnsi="標楷體" w:cs="標楷體"/>
          <w:sz w:val="32"/>
          <w:szCs w:val="32"/>
        </w:rPr>
        <w:t xml:space="preserve">105 </w:t>
      </w:r>
      <w:r w:rsidRPr="00C422E6">
        <w:rPr>
          <w:rFonts w:ascii="標楷體" w:eastAsia="標楷體" w:hAnsi="標楷體" w:cs="標楷體" w:hint="eastAsia"/>
          <w:sz w:val="32"/>
          <w:szCs w:val="32"/>
        </w:rPr>
        <w:t>（</w:t>
      </w:r>
      <w:r w:rsidRPr="00C422E6">
        <w:rPr>
          <w:rFonts w:ascii="標楷體" w:eastAsia="標楷體" w:hAnsi="標楷體" w:cs="標楷體"/>
          <w:sz w:val="32"/>
          <w:szCs w:val="32"/>
        </w:rPr>
        <w:t>105=1050 / 1000 * 100</w:t>
      </w:r>
      <w:r w:rsidRPr="00C422E6">
        <w:rPr>
          <w:rFonts w:ascii="標楷體" w:eastAsia="標楷體" w:hAnsi="標楷體" w:cs="標楷體" w:hint="eastAsia"/>
          <w:sz w:val="32"/>
          <w:szCs w:val="32"/>
        </w:rPr>
        <w:t>）。表示該季住宅價格相對於</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年全年，上漲</w:t>
      </w:r>
      <w:r w:rsidRPr="00C422E6">
        <w:rPr>
          <w:rFonts w:ascii="標楷體" w:eastAsia="標楷體" w:hAnsi="標楷體" w:cs="標楷體"/>
          <w:sz w:val="32"/>
          <w:szCs w:val="32"/>
        </w:rPr>
        <w:t>5</w:t>
      </w:r>
      <w:r w:rsidRPr="00C422E6">
        <w:rPr>
          <w:rFonts w:ascii="標楷體" w:eastAsia="標楷體" w:hAnsi="標楷體" w:cs="標楷體" w:hint="eastAsia"/>
          <w:sz w:val="32"/>
          <w:szCs w:val="32"/>
        </w:rPr>
        <w:t>％。</w:t>
      </w:r>
    </w:p>
    <w:p w:rsidR="00C42AA3" w:rsidRPr="00C422E6" w:rsidRDefault="00C42AA3" w:rsidP="00184E16">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六、資料來源：</w:t>
      </w:r>
    </w:p>
    <w:p w:rsidR="00C42AA3" w:rsidRPr="00C422E6" w:rsidRDefault="00C42AA3" w:rsidP="00EB4BE5">
      <w:pPr>
        <w:widowControl/>
        <w:spacing w:line="500" w:lineRule="atLeast"/>
        <w:ind w:leftChars="270" w:left="648"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為不動產交易實價查詢服務網資料庫（實價登錄）成交案件之交易價格資料。</w:t>
      </w:r>
    </w:p>
    <w:p w:rsidR="00C42AA3" w:rsidRPr="00C422E6" w:rsidRDefault="00C42AA3" w:rsidP="00184E16">
      <w:pPr>
        <w:widowControl/>
        <w:spacing w:beforeLines="50" w:before="120"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七、嗣後已發布之統計資料若有修正，將依各機關統計資料發布要點第</w:t>
      </w:r>
      <w:r w:rsidRPr="00C422E6">
        <w:rPr>
          <w:rFonts w:ascii="標楷體" w:eastAsia="標楷體" w:hAnsi="標楷體" w:cs="標楷體"/>
          <w:sz w:val="32"/>
          <w:szCs w:val="32"/>
        </w:rPr>
        <w:t>7</w:t>
      </w:r>
      <w:r w:rsidRPr="00C422E6">
        <w:rPr>
          <w:rFonts w:ascii="標楷體" w:eastAsia="標楷體" w:hAnsi="標楷體" w:cs="標楷體" w:hint="eastAsia"/>
          <w:sz w:val="32"/>
          <w:szCs w:val="32"/>
        </w:rPr>
        <w:t>條規定：「各機關如需對已發布之統計資料修正，應將修正資料發布，並註明其修正原因，送各該政府主計機關備查。如涉及資料定義、統計方法等重大事項之變更，應同時修正資料背景說明併同修正資料發布，送各該政府主計機關備查。」辦理。</w:t>
      </w:r>
    </w:p>
    <w:p w:rsidR="00C42AA3" w:rsidRPr="00C422E6" w:rsidRDefault="00C42AA3" w:rsidP="00184E16">
      <w:pPr>
        <w:adjustRightInd w:val="0"/>
        <w:snapToGrid w:val="0"/>
        <w:spacing w:afterLines="50" w:after="120" w:line="500" w:lineRule="atLeast"/>
        <w:jc w:val="both"/>
        <w:outlineLvl w:val="0"/>
        <w:rPr>
          <w:rFonts w:ascii="標楷體" w:eastAsia="標楷體" w:hAnsi="標楷體" w:cs="Times New Roman"/>
        </w:rPr>
      </w:pPr>
    </w:p>
    <w:p w:rsidR="00C42AA3" w:rsidRPr="00C422E6" w:rsidRDefault="00C42AA3" w:rsidP="00F00968">
      <w:pPr>
        <w:pStyle w:val="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標楷體" w:eastAsia="標楷體" w:hAnsi="標楷體" w:cs="Times New Roman"/>
        </w:rPr>
      </w:pPr>
    </w:p>
    <w:p w:rsidR="00C42AA3" w:rsidRPr="00C422E6" w:rsidRDefault="00C42AA3" w:rsidP="00184E16">
      <w:pPr>
        <w:adjustRightInd w:val="0"/>
        <w:snapToGrid w:val="0"/>
        <w:spacing w:afterLines="50" w:after="120" w:line="500" w:lineRule="atLeast"/>
        <w:jc w:val="both"/>
        <w:outlineLvl w:val="0"/>
        <w:rPr>
          <w:rFonts w:ascii="標楷體" w:eastAsia="標楷體" w:hAnsi="標楷體" w:cs="Times New Roman"/>
          <w:b/>
          <w:bCs/>
          <w:sz w:val="32"/>
          <w:szCs w:val="32"/>
        </w:rPr>
      </w:pPr>
      <w:r w:rsidRPr="00C422E6">
        <w:rPr>
          <w:rFonts w:ascii="標楷體" w:eastAsia="標楷體" w:hAnsi="標楷體" w:cs="Times New Roman"/>
          <w:b/>
          <w:bCs/>
          <w:sz w:val="32"/>
          <w:szCs w:val="32"/>
        </w:rPr>
        <w:br w:type="page"/>
      </w:r>
      <w:bookmarkStart w:id="16" w:name="_Toc444595145"/>
      <w:r w:rsidRPr="00C422E6">
        <w:rPr>
          <w:rFonts w:ascii="標楷體" w:eastAsia="標楷體" w:hAnsi="標楷體" w:cs="標楷體" w:hint="eastAsia"/>
          <w:b/>
          <w:bCs/>
          <w:sz w:val="32"/>
          <w:szCs w:val="32"/>
        </w:rPr>
        <w:lastRenderedPageBreak/>
        <w:t>附錄</w:t>
      </w:r>
      <w:r w:rsidRPr="00C422E6">
        <w:rPr>
          <w:rFonts w:ascii="標楷體" w:eastAsia="標楷體" w:hAnsi="標楷體" w:cs="標楷體" w:hint="eastAsia"/>
          <w:sz w:val="32"/>
          <w:szCs w:val="32"/>
        </w:rPr>
        <w:t>二</w:t>
      </w:r>
      <w:r w:rsidRPr="00C422E6">
        <w:rPr>
          <w:rFonts w:ascii="標楷體" w:eastAsia="標楷體" w:hAnsi="標楷體" w:cs="標楷體" w:hint="eastAsia"/>
          <w:b/>
          <w:bCs/>
          <w:sz w:val="32"/>
          <w:szCs w:val="32"/>
        </w:rPr>
        <w:t>、標準住宅及住宅價格指數之問與答</w:t>
      </w:r>
      <w:bookmarkEnd w:id="16"/>
    </w:p>
    <w:p w:rsidR="00C42AA3" w:rsidRPr="00C422E6" w:rsidRDefault="00C42AA3" w:rsidP="00184E16">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一、何謂標準住宅：</w:t>
      </w:r>
    </w:p>
    <w:p w:rsidR="00C42AA3" w:rsidRPr="00C422E6" w:rsidRDefault="00C42AA3"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答：「標準住宅」是用基準期間（稱為基期）交易住宅特徵的平均數所形成的虛擬住宅，代表基期的標準化住宅品質，作為住宅價格指數計算時的權重，也是衡量相同品質住宅價格變動的工具。</w:t>
      </w:r>
    </w:p>
    <w:p w:rsidR="00C42AA3" w:rsidRPr="00C422E6" w:rsidRDefault="00C42AA3" w:rsidP="00184E16">
      <w:pPr>
        <w:adjustRightInd w:val="0"/>
        <w:snapToGrid w:val="0"/>
        <w:spacing w:beforeLines="50" w:before="120"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二、為什麼使用標準住宅？</w:t>
      </w:r>
    </w:p>
    <w:p w:rsidR="00C42AA3" w:rsidRPr="00C422E6" w:rsidRDefault="00C42AA3"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標準住宅的設計與主計總處消費者物價指數之「一籃子貨物」相似，以品質固定的標準住宅，配合特徵價格模型所估算的各項特徵價格，可做為衡量整體住宅的價格變動，藉此克服過去國人慣用的平均房價所存在的住宅品質不一致所產生的問題。</w:t>
      </w:r>
    </w:p>
    <w:p w:rsidR="00C42AA3" w:rsidRPr="00C422E6" w:rsidRDefault="00C42AA3" w:rsidP="00184E16">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三、標準住宅是否有代表性？其代表性為何？</w:t>
      </w:r>
    </w:p>
    <w:p w:rsidR="00C42AA3" w:rsidRPr="00C422E6" w:rsidRDefault="00C42AA3"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答：標準住宅選用基準期間住宅交易的特徵（如面積、屋齡……等住宅構成屬性）的平均值，代表該地區住宅交易典型的標準化品質。</w:t>
      </w:r>
    </w:p>
    <w:p w:rsidR="00C42AA3" w:rsidRPr="00C422E6" w:rsidRDefault="00C42AA3" w:rsidP="00184E16">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四、標準住宅為何不選定一個實際存在的住宅？</w:t>
      </w:r>
    </w:p>
    <w:p w:rsidR="00C42AA3" w:rsidRPr="00C422E6" w:rsidRDefault="00C42AA3"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答：特定實體住宅之各項特徵未必均為特定時間、地區住宅交易的代表，且特定實體住宅無法在每一季均發生交易。</w:t>
      </w:r>
    </w:p>
    <w:p w:rsidR="00C42AA3" w:rsidRPr="00C422E6" w:rsidRDefault="00C42AA3" w:rsidP="00184E16">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五、標準住宅在不同的區域是否相同？</w:t>
      </w:r>
    </w:p>
    <w:p w:rsidR="00C42AA3" w:rsidRPr="00C422E6" w:rsidRDefault="00C42AA3" w:rsidP="00126ECB">
      <w:pPr>
        <w:adjustRightInd w:val="0"/>
        <w:snapToGrid w:val="0"/>
        <w:spacing w:line="500" w:lineRule="atLeast"/>
        <w:ind w:left="992" w:hangingChars="310" w:hanging="992"/>
        <w:jc w:val="both"/>
        <w:rPr>
          <w:rFonts w:ascii="標楷體" w:eastAsia="標楷體" w:hAnsi="標楷體" w:cs="Times New Roman"/>
          <w:sz w:val="32"/>
          <w:szCs w:val="32"/>
        </w:rPr>
      </w:pPr>
      <w:r w:rsidRPr="00C422E6">
        <w:rPr>
          <w:rFonts w:ascii="標楷體" w:eastAsia="標楷體" w:hAnsi="標楷體" w:cs="標楷體" w:hint="eastAsia"/>
          <w:sz w:val="32"/>
          <w:szCs w:val="32"/>
        </w:rPr>
        <w:lastRenderedPageBreak/>
        <w:t>答：不同區域的住宅交易典型並不相同，因此標準住宅也不相同。</w:t>
      </w:r>
    </w:p>
    <w:p w:rsidR="00C42AA3" w:rsidRPr="00C422E6" w:rsidRDefault="00C42AA3" w:rsidP="00184E16">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六、使用標準住宅來衡量房價變化，是否會低估了房價上漲的力量？</w:t>
      </w:r>
    </w:p>
    <w:p w:rsidR="00C42AA3" w:rsidRPr="00C422E6" w:rsidRDefault="00C42AA3"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以標準住宅編製的指數代表標準住宅（即市場交易的典型住宅）的價格變化，由於估計的是以相同住宅品質的價格，因此不會受各季度交易物件品質差異的影響，尚無低估房價上漲力量的問題；本案編製的範圍未包含特殊類型住宅的價格變化，如小坪數住宅或高總價住宅或特定地段之房價。</w:t>
      </w:r>
    </w:p>
    <w:p w:rsidR="00C42AA3" w:rsidRPr="00C422E6" w:rsidRDefault="00C42AA3" w:rsidP="00184E16">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七、住宅價格指數可否跨縣市比較？</w:t>
      </w:r>
    </w:p>
    <w:p w:rsidR="00C42AA3" w:rsidRPr="00C422E6" w:rsidRDefault="00C42AA3" w:rsidP="00126ECB">
      <w:pPr>
        <w:adjustRightInd w:val="0"/>
        <w:snapToGrid w:val="0"/>
        <w:spacing w:line="500" w:lineRule="atLeast"/>
        <w:ind w:leftChars="-1" w:left="718" w:hangingChars="225" w:hanging="720"/>
        <w:jc w:val="both"/>
        <w:rPr>
          <w:rFonts w:ascii="標楷體" w:eastAsia="標楷體" w:hAnsi="標楷體" w:cs="Times New Roman"/>
          <w:sz w:val="32"/>
          <w:szCs w:val="32"/>
        </w:rPr>
      </w:pPr>
      <w:r w:rsidRPr="00C422E6">
        <w:rPr>
          <w:rFonts w:ascii="標楷體" w:eastAsia="標楷體" w:hAnsi="標楷體" w:cs="標楷體" w:hint="eastAsia"/>
          <w:sz w:val="32"/>
          <w:szCs w:val="32"/>
        </w:rPr>
        <w:t>答：各縣市的住宅價格指數是獨立編製，依照其各自標準住宅的價格變動來編製指數，指數本身無法跨縣市比較；但指數變動率則可跨縣市比較。</w:t>
      </w:r>
    </w:p>
    <w:p w:rsidR="00C42AA3" w:rsidRPr="00C422E6" w:rsidRDefault="00C42AA3" w:rsidP="00184E16">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八、國際上有哪些國家的住宅價格指數也採用「標準住宅」？</w:t>
      </w:r>
    </w:p>
    <w:p w:rsidR="00C42AA3" w:rsidRPr="00C422E6" w:rsidRDefault="00C42AA3"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答：目前英國的</w:t>
      </w:r>
      <w:r w:rsidRPr="00C422E6">
        <w:rPr>
          <w:rFonts w:ascii="標楷體" w:eastAsia="標楷體" w:hAnsi="標楷體" w:cs="標楷體"/>
          <w:sz w:val="32"/>
          <w:szCs w:val="32"/>
        </w:rPr>
        <w:t>Halifax House Price Index</w:t>
      </w:r>
      <w:r w:rsidRPr="00C422E6">
        <w:rPr>
          <w:rFonts w:ascii="標楷體" w:eastAsia="標楷體" w:hAnsi="標楷體" w:cs="標楷體" w:hint="eastAsia"/>
          <w:sz w:val="32"/>
          <w:szCs w:val="32"/>
        </w:rPr>
        <w:t>及德國的</w:t>
      </w:r>
      <w:r w:rsidRPr="00C422E6">
        <w:rPr>
          <w:rFonts w:ascii="標楷體" w:eastAsia="標楷體" w:hAnsi="標楷體" w:cs="標楷體"/>
          <w:sz w:val="32"/>
          <w:szCs w:val="32"/>
        </w:rPr>
        <w:t>House Price Index</w:t>
      </w:r>
      <w:r w:rsidRPr="00C422E6">
        <w:rPr>
          <w:rFonts w:ascii="標楷體" w:eastAsia="標楷體" w:hAnsi="標楷體" w:cs="標楷體" w:hint="eastAsia"/>
          <w:sz w:val="32"/>
          <w:szCs w:val="32"/>
        </w:rPr>
        <w:t>係使用類似標準住宅的概念編製住宅價格指數。</w:t>
      </w:r>
    </w:p>
    <w:p w:rsidR="00C42AA3" w:rsidRPr="00C422E6" w:rsidRDefault="00C42AA3" w:rsidP="00184E16">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九、指數變動率該如何解讀？其計算公式為何？</w:t>
      </w:r>
    </w:p>
    <w:p w:rsidR="00C42AA3" w:rsidRPr="00C422E6" w:rsidRDefault="00C42AA3" w:rsidP="00EC3E56">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答：指數變動率代表住宅價格的變動幅度與趨勢，「本季對上季變動率」為住宅價格的短期變動幅度；「本季對去年同季變動率」除為住宅價格的年度變動幅度外，並可降低季節性因素所</w:t>
      </w:r>
      <w:r w:rsidRPr="00C422E6">
        <w:rPr>
          <w:rFonts w:ascii="標楷體" w:eastAsia="標楷體" w:hAnsi="標楷體" w:cs="標楷體" w:hint="eastAsia"/>
          <w:sz w:val="32"/>
          <w:szCs w:val="32"/>
        </w:rPr>
        <w:lastRenderedPageBreak/>
        <w:t>產生的價格效果。有關「本季對上季變動率」之計算公式如（</w:t>
      </w:r>
      <w:r w:rsidRPr="00C422E6">
        <w:rPr>
          <w:rFonts w:ascii="標楷體" w:eastAsia="標楷體" w:hAnsi="標楷體" w:cs="標楷體"/>
          <w:sz w:val="32"/>
          <w:szCs w:val="32"/>
        </w:rPr>
        <w:t>1</w:t>
      </w:r>
      <w:r w:rsidRPr="00C422E6">
        <w:rPr>
          <w:rFonts w:ascii="標楷體" w:eastAsia="標楷體" w:hAnsi="標楷體" w:cs="標楷體" w:hint="eastAsia"/>
          <w:sz w:val="32"/>
          <w:szCs w:val="32"/>
        </w:rPr>
        <w:t>）；「本季對去年同季變動率」計算公式如（</w:t>
      </w:r>
      <w:r w:rsidRPr="00C422E6">
        <w:rPr>
          <w:rFonts w:ascii="標楷體" w:eastAsia="標楷體" w:hAnsi="標楷體" w:cs="標楷體"/>
          <w:sz w:val="32"/>
          <w:szCs w:val="32"/>
        </w:rPr>
        <w:t>2</w:t>
      </w:r>
      <w:r w:rsidRPr="00C422E6">
        <w:rPr>
          <w:rFonts w:ascii="標楷體" w:eastAsia="標楷體" w:hAnsi="標楷體" w:cs="標楷體" w:hint="eastAsia"/>
          <w:sz w:val="32"/>
          <w:szCs w:val="32"/>
        </w:rPr>
        <w:t>）。</w:t>
      </w:r>
    </w:p>
    <w:p w:rsidR="00C42AA3" w:rsidRPr="00C422E6" w:rsidRDefault="00C42AA3" w:rsidP="00EB4BE5">
      <w:pPr>
        <w:adjustRightInd w:val="0"/>
        <w:snapToGrid w:val="0"/>
        <w:spacing w:line="500" w:lineRule="atLeast"/>
        <w:ind w:leftChars="140" w:left="992" w:hangingChars="205" w:hanging="656"/>
        <w:jc w:val="both"/>
        <w:rPr>
          <w:rFonts w:ascii="標楷體" w:eastAsia="標楷體" w:hAnsi="標楷體" w:cs="Times New Roman"/>
          <w:sz w:val="32"/>
          <w:szCs w:val="32"/>
        </w:rPr>
      </w:pPr>
    </w:p>
    <w:p w:rsidR="00C42AA3" w:rsidRPr="00C422E6" w:rsidRDefault="00C42AA3" w:rsidP="00EB4BE5">
      <w:pPr>
        <w:adjustRightInd w:val="0"/>
        <w:snapToGrid w:val="0"/>
        <w:spacing w:line="500" w:lineRule="atLeast"/>
        <w:ind w:leftChars="414" w:left="994" w:firstLineChars="150" w:firstLine="480"/>
        <w:jc w:val="both"/>
        <w:rPr>
          <w:rFonts w:ascii="標楷體" w:eastAsia="標楷體" w:hAnsi="標楷體" w:cs="Times New Roman"/>
          <w:sz w:val="32"/>
          <w:szCs w:val="32"/>
        </w:rPr>
      </w:pPr>
      <w:r w:rsidRPr="00C422E6">
        <w:rPr>
          <w:rFonts w:ascii="標楷體" w:eastAsia="標楷體" w:hAnsi="標楷體" w:cs="Times New Roman"/>
          <w:position w:val="-28"/>
          <w:sz w:val="32"/>
          <w:szCs w:val="32"/>
        </w:rPr>
        <w:object w:dxaOrig="3159" w:dyaOrig="660">
          <v:shape id="_x0000_i1034" type="#_x0000_t75" style="width:158.25pt;height:33pt" o:ole="">
            <v:imagedata r:id="rId8" o:title=""/>
          </v:shape>
          <o:OLEObject Type="Embed" ProgID="Equation.3" ShapeID="_x0000_i1034" DrawAspect="Content" ObjectID="_1540215060" r:id="rId19"/>
        </w:object>
      </w:r>
      <w:r w:rsidRPr="00C422E6">
        <w:rPr>
          <w:rFonts w:ascii="標楷體" w:eastAsia="標楷體" w:hAnsi="標楷體" w:cs="Times New Roman"/>
          <w:sz w:val="32"/>
          <w:szCs w:val="32"/>
        </w:rPr>
        <w:tab/>
      </w:r>
      <w:r w:rsidRPr="00C422E6">
        <w:rPr>
          <w:rFonts w:ascii="標楷體" w:eastAsia="標楷體" w:hAnsi="標楷體" w:cs="標楷體" w:hint="eastAsia"/>
          <w:sz w:val="32"/>
          <w:szCs w:val="32"/>
        </w:rPr>
        <w:t>…………（</w:t>
      </w:r>
      <w:r w:rsidRPr="00C422E6">
        <w:rPr>
          <w:rFonts w:ascii="標楷體" w:eastAsia="標楷體" w:hAnsi="標楷體" w:cs="標楷體"/>
          <w:sz w:val="32"/>
          <w:szCs w:val="32"/>
        </w:rPr>
        <w:t>1</w:t>
      </w:r>
      <w:r w:rsidRPr="00C422E6">
        <w:rPr>
          <w:rFonts w:ascii="標楷體" w:eastAsia="標楷體" w:hAnsi="標楷體" w:cs="標楷體" w:hint="eastAsia"/>
          <w:sz w:val="32"/>
          <w:szCs w:val="32"/>
        </w:rPr>
        <w:t>）</w:t>
      </w:r>
    </w:p>
    <w:p w:rsidR="00C42AA3" w:rsidRPr="00C422E6" w:rsidRDefault="00C42AA3" w:rsidP="00EB4BE5">
      <w:pPr>
        <w:adjustRightInd w:val="0"/>
        <w:snapToGrid w:val="0"/>
        <w:spacing w:line="500" w:lineRule="atLeast"/>
        <w:ind w:leftChars="140" w:left="992" w:hangingChars="205" w:hanging="656"/>
        <w:jc w:val="both"/>
        <w:rPr>
          <w:rFonts w:ascii="標楷體" w:eastAsia="標楷體" w:hAnsi="標楷體" w:cs="Times New Roman"/>
          <w:sz w:val="32"/>
          <w:szCs w:val="32"/>
        </w:rPr>
      </w:pPr>
    </w:p>
    <w:p w:rsidR="00C42AA3" w:rsidRPr="00C422E6" w:rsidRDefault="00C42AA3" w:rsidP="00EB4BE5">
      <w:pPr>
        <w:adjustRightInd w:val="0"/>
        <w:snapToGrid w:val="0"/>
        <w:spacing w:line="500" w:lineRule="atLeast"/>
        <w:ind w:leftChars="414" w:left="994" w:firstLineChars="100" w:firstLine="320"/>
        <w:jc w:val="both"/>
        <w:rPr>
          <w:rFonts w:ascii="標楷體" w:eastAsia="標楷體" w:hAnsi="標楷體" w:cs="標楷體"/>
          <w:sz w:val="32"/>
          <w:szCs w:val="32"/>
        </w:rPr>
      </w:pPr>
      <w:r w:rsidRPr="00C422E6">
        <w:rPr>
          <w:rFonts w:ascii="標楷體" w:eastAsia="標楷體" w:hAnsi="標楷體" w:cs="Times New Roman"/>
          <w:sz w:val="32"/>
          <w:szCs w:val="32"/>
        </w:rPr>
        <w:tab/>
      </w:r>
      <w:r w:rsidRPr="00C422E6">
        <w:rPr>
          <w:rFonts w:ascii="標楷體" w:eastAsia="標楷體" w:hAnsi="標楷體" w:cs="Times New Roman"/>
          <w:position w:val="-28"/>
          <w:sz w:val="32"/>
          <w:szCs w:val="32"/>
        </w:rPr>
        <w:object w:dxaOrig="3640" w:dyaOrig="660">
          <v:shape id="_x0000_i1035" type="#_x0000_t75" style="width:182.25pt;height:33pt" o:ole="">
            <v:imagedata r:id="rId20" o:title=""/>
          </v:shape>
          <o:OLEObject Type="Embed" ProgID="Equation.3" ShapeID="_x0000_i1035" DrawAspect="Content" ObjectID="_1540215061" r:id="rId21"/>
        </w:object>
      </w:r>
      <w:r w:rsidRPr="00C422E6">
        <w:rPr>
          <w:rFonts w:ascii="標楷體" w:eastAsia="標楷體" w:hAnsi="標楷體" w:cs="標楷體" w:hint="eastAsia"/>
          <w:sz w:val="32"/>
          <w:szCs w:val="32"/>
        </w:rPr>
        <w:t>……………（</w:t>
      </w:r>
      <w:r w:rsidRPr="00C422E6">
        <w:rPr>
          <w:rFonts w:ascii="標楷體" w:eastAsia="標楷體" w:hAnsi="標楷體" w:cs="標楷體"/>
          <w:sz w:val="32"/>
          <w:szCs w:val="32"/>
        </w:rPr>
        <w:t>2)</w:t>
      </w:r>
    </w:p>
    <w:sectPr w:rsidR="00C42AA3" w:rsidRPr="00C422E6" w:rsidSect="00283290">
      <w:pgSz w:w="11906" w:h="16838" w:code="9"/>
      <w:pgMar w:top="1247" w:right="1191" w:bottom="1247" w:left="1191" w:header="851" w:footer="851" w:gutter="0"/>
      <w:pgNumType w:start="2"/>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FF" w:rsidRDefault="006776FF" w:rsidP="007B005C">
      <w:pPr>
        <w:rPr>
          <w:rFonts w:cs="Times New Roman"/>
        </w:rPr>
      </w:pPr>
      <w:r>
        <w:rPr>
          <w:rFonts w:cs="Times New Roman"/>
        </w:rPr>
        <w:separator/>
      </w:r>
    </w:p>
  </w:endnote>
  <w:endnote w:type="continuationSeparator" w:id="0">
    <w:p w:rsidR="006776FF" w:rsidRDefault="006776FF" w:rsidP="007B00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A3" w:rsidRDefault="00C42AA3" w:rsidP="00283290">
    <w:pPr>
      <w:pStyle w:val="a7"/>
      <w:framePr w:wrap="auto"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separate"/>
    </w:r>
    <w:r w:rsidR="00E7104A">
      <w:rPr>
        <w:rStyle w:val="a9"/>
        <w:noProof/>
      </w:rPr>
      <w:t>1</w:t>
    </w:r>
    <w:r>
      <w:rPr>
        <w:rStyle w:val="a9"/>
      </w:rPr>
      <w:fldChar w:fldCharType="end"/>
    </w:r>
  </w:p>
  <w:p w:rsidR="00C42AA3" w:rsidRDefault="00C42AA3" w:rsidP="00BD3F18">
    <w:pPr>
      <w:pStyle w:val="a7"/>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FF" w:rsidRDefault="006776FF" w:rsidP="007B005C">
      <w:pPr>
        <w:rPr>
          <w:rFonts w:cs="Times New Roman"/>
        </w:rPr>
      </w:pPr>
      <w:r>
        <w:rPr>
          <w:rFonts w:cs="Times New Roman"/>
        </w:rPr>
        <w:separator/>
      </w:r>
    </w:p>
  </w:footnote>
  <w:footnote w:type="continuationSeparator" w:id="0">
    <w:p w:rsidR="006776FF" w:rsidRDefault="006776FF" w:rsidP="007B005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BCB782"/>
    <w:lvl w:ilvl="0">
      <w:start w:val="1"/>
      <w:numFmt w:val="decimal"/>
      <w:lvlText w:val="%1."/>
      <w:lvlJc w:val="left"/>
      <w:pPr>
        <w:tabs>
          <w:tab w:val="num" w:pos="2281"/>
        </w:tabs>
        <w:ind w:left="2281" w:hanging="360"/>
      </w:pPr>
    </w:lvl>
  </w:abstractNum>
  <w:abstractNum w:abstractNumId="1">
    <w:nsid w:val="FFFFFF7D"/>
    <w:multiLevelType w:val="singleLevel"/>
    <w:tmpl w:val="71CAEC70"/>
    <w:lvl w:ilvl="0">
      <w:start w:val="1"/>
      <w:numFmt w:val="decimal"/>
      <w:lvlText w:val="%1."/>
      <w:lvlJc w:val="left"/>
      <w:pPr>
        <w:tabs>
          <w:tab w:val="num" w:pos="1801"/>
        </w:tabs>
        <w:ind w:left="1801" w:hanging="360"/>
      </w:pPr>
    </w:lvl>
  </w:abstractNum>
  <w:abstractNum w:abstractNumId="2">
    <w:nsid w:val="FFFFFF7E"/>
    <w:multiLevelType w:val="singleLevel"/>
    <w:tmpl w:val="20722D84"/>
    <w:lvl w:ilvl="0">
      <w:start w:val="1"/>
      <w:numFmt w:val="decimal"/>
      <w:lvlText w:val="%1."/>
      <w:lvlJc w:val="left"/>
      <w:pPr>
        <w:tabs>
          <w:tab w:val="num" w:pos="1321"/>
        </w:tabs>
        <w:ind w:left="1321" w:hanging="360"/>
      </w:pPr>
    </w:lvl>
  </w:abstractNum>
  <w:abstractNum w:abstractNumId="3">
    <w:nsid w:val="FFFFFF7F"/>
    <w:multiLevelType w:val="singleLevel"/>
    <w:tmpl w:val="1CEA8A40"/>
    <w:lvl w:ilvl="0">
      <w:start w:val="1"/>
      <w:numFmt w:val="decimal"/>
      <w:lvlText w:val="%1."/>
      <w:lvlJc w:val="left"/>
      <w:pPr>
        <w:tabs>
          <w:tab w:val="num" w:pos="841"/>
        </w:tabs>
        <w:ind w:left="841" w:hanging="360"/>
      </w:pPr>
    </w:lvl>
  </w:abstractNum>
  <w:abstractNum w:abstractNumId="4">
    <w:nsid w:val="FFFFFF80"/>
    <w:multiLevelType w:val="singleLevel"/>
    <w:tmpl w:val="A7F86412"/>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DC7E4D22"/>
    <w:lvl w:ilvl="0">
      <w:start w:val="1"/>
      <w:numFmt w:val="bullet"/>
      <w:lvlText w:val=""/>
      <w:lvlJc w:val="left"/>
      <w:pPr>
        <w:tabs>
          <w:tab w:val="num" w:pos="1801"/>
        </w:tabs>
        <w:ind w:left="1801" w:hanging="360"/>
      </w:pPr>
      <w:rPr>
        <w:rFonts w:ascii="Wingdings" w:hAnsi="Wingdings" w:cs="Wingdings" w:hint="default"/>
      </w:rPr>
    </w:lvl>
  </w:abstractNum>
  <w:abstractNum w:abstractNumId="6">
    <w:nsid w:val="FFFFFF82"/>
    <w:multiLevelType w:val="singleLevel"/>
    <w:tmpl w:val="EADC9E5C"/>
    <w:lvl w:ilvl="0">
      <w:start w:val="1"/>
      <w:numFmt w:val="bullet"/>
      <w:lvlText w:val=""/>
      <w:lvlJc w:val="left"/>
      <w:pPr>
        <w:tabs>
          <w:tab w:val="num" w:pos="1321"/>
        </w:tabs>
        <w:ind w:left="1321" w:hanging="360"/>
      </w:pPr>
      <w:rPr>
        <w:rFonts w:ascii="Wingdings" w:hAnsi="Wingdings" w:cs="Wingdings" w:hint="default"/>
      </w:rPr>
    </w:lvl>
  </w:abstractNum>
  <w:abstractNum w:abstractNumId="7">
    <w:nsid w:val="FFFFFF83"/>
    <w:multiLevelType w:val="singleLevel"/>
    <w:tmpl w:val="C7AA61F2"/>
    <w:lvl w:ilvl="0">
      <w:start w:val="1"/>
      <w:numFmt w:val="bullet"/>
      <w:lvlText w:val=""/>
      <w:lvlJc w:val="left"/>
      <w:pPr>
        <w:tabs>
          <w:tab w:val="num" w:pos="841"/>
        </w:tabs>
        <w:ind w:left="841" w:hanging="360"/>
      </w:pPr>
      <w:rPr>
        <w:rFonts w:ascii="Wingdings" w:hAnsi="Wingdings" w:cs="Wingdings" w:hint="default"/>
      </w:rPr>
    </w:lvl>
  </w:abstractNum>
  <w:abstractNum w:abstractNumId="8">
    <w:nsid w:val="FFFFFF88"/>
    <w:multiLevelType w:val="singleLevel"/>
    <w:tmpl w:val="6BFAF622"/>
    <w:lvl w:ilvl="0">
      <w:start w:val="1"/>
      <w:numFmt w:val="decimal"/>
      <w:lvlText w:val="%1."/>
      <w:lvlJc w:val="left"/>
      <w:pPr>
        <w:tabs>
          <w:tab w:val="num" w:pos="361"/>
        </w:tabs>
        <w:ind w:left="361" w:hanging="360"/>
      </w:pPr>
    </w:lvl>
  </w:abstractNum>
  <w:abstractNum w:abstractNumId="9">
    <w:nsid w:val="FFFFFF89"/>
    <w:multiLevelType w:val="singleLevel"/>
    <w:tmpl w:val="77CAE8C0"/>
    <w:lvl w:ilvl="0">
      <w:start w:val="1"/>
      <w:numFmt w:val="bullet"/>
      <w:lvlText w:val=""/>
      <w:lvlJc w:val="left"/>
      <w:pPr>
        <w:tabs>
          <w:tab w:val="num" w:pos="361"/>
        </w:tabs>
        <w:ind w:left="361" w:hanging="360"/>
      </w:pPr>
      <w:rPr>
        <w:rFonts w:ascii="Wingdings" w:hAnsi="Wingdings" w:cs="Wingdings" w:hint="default"/>
      </w:rPr>
    </w:lvl>
  </w:abstractNum>
  <w:abstractNum w:abstractNumId="10">
    <w:nsid w:val="1E3B6FC0"/>
    <w:multiLevelType w:val="hybridMultilevel"/>
    <w:tmpl w:val="805A630A"/>
    <w:lvl w:ilvl="0" w:tplc="04090015">
      <w:start w:val="1"/>
      <w:numFmt w:val="taiwaneseCountingThousand"/>
      <w:lvlText w:val="%1、"/>
      <w:lvlJc w:val="left"/>
      <w:pPr>
        <w:ind w:left="264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6D457F1"/>
    <w:multiLevelType w:val="hybridMultilevel"/>
    <w:tmpl w:val="8E54C2D4"/>
    <w:lvl w:ilvl="0" w:tplc="C39E1998">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45213753"/>
    <w:multiLevelType w:val="hybridMultilevel"/>
    <w:tmpl w:val="29D42E84"/>
    <w:lvl w:ilvl="0" w:tplc="C068D65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5A2D2D32"/>
    <w:multiLevelType w:val="hybridMultilevel"/>
    <w:tmpl w:val="7534EC9C"/>
    <w:lvl w:ilvl="0" w:tplc="6B04EC36">
      <w:start w:val="1"/>
      <w:numFmt w:val="taiwaneseCountingThousand"/>
      <w:lvlText w:val="（%1）"/>
      <w:lvlJc w:val="left"/>
      <w:pPr>
        <w:ind w:left="960" w:hanging="9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5DBF30E9"/>
    <w:multiLevelType w:val="hybridMultilevel"/>
    <w:tmpl w:val="1E80696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5E5F30C7"/>
    <w:multiLevelType w:val="hybridMultilevel"/>
    <w:tmpl w:val="0A98E590"/>
    <w:lvl w:ilvl="0" w:tplc="5F560150">
      <w:start w:val="1"/>
      <w:numFmt w:val="bullet"/>
      <w:lvlText w:val=""/>
      <w:lvlJc w:val="left"/>
      <w:pPr>
        <w:tabs>
          <w:tab w:val="num" w:pos="720"/>
        </w:tabs>
        <w:ind w:left="720" w:hanging="360"/>
      </w:pPr>
      <w:rPr>
        <w:rFonts w:ascii="Wingdings" w:hAnsi="Wingdings" w:cs="Wingdings" w:hint="default"/>
      </w:rPr>
    </w:lvl>
    <w:lvl w:ilvl="1" w:tplc="ABE87760">
      <w:start w:val="1"/>
      <w:numFmt w:val="bullet"/>
      <w:lvlText w:val=""/>
      <w:lvlJc w:val="left"/>
      <w:pPr>
        <w:tabs>
          <w:tab w:val="num" w:pos="1440"/>
        </w:tabs>
        <w:ind w:left="1440" w:hanging="360"/>
      </w:pPr>
      <w:rPr>
        <w:rFonts w:ascii="Wingdings" w:hAnsi="Wingdings" w:cs="Wingdings" w:hint="default"/>
      </w:rPr>
    </w:lvl>
    <w:lvl w:ilvl="2" w:tplc="2970333A">
      <w:start w:val="1"/>
      <w:numFmt w:val="bullet"/>
      <w:lvlText w:val=""/>
      <w:lvlJc w:val="left"/>
      <w:pPr>
        <w:tabs>
          <w:tab w:val="num" w:pos="2160"/>
        </w:tabs>
        <w:ind w:left="2160" w:hanging="360"/>
      </w:pPr>
      <w:rPr>
        <w:rFonts w:ascii="Wingdings" w:hAnsi="Wingdings" w:cs="Wingdings" w:hint="default"/>
      </w:rPr>
    </w:lvl>
    <w:lvl w:ilvl="3" w:tplc="8DDCA894">
      <w:start w:val="1"/>
      <w:numFmt w:val="bullet"/>
      <w:lvlText w:val=""/>
      <w:lvlJc w:val="left"/>
      <w:pPr>
        <w:tabs>
          <w:tab w:val="num" w:pos="2880"/>
        </w:tabs>
        <w:ind w:left="2880" w:hanging="360"/>
      </w:pPr>
      <w:rPr>
        <w:rFonts w:ascii="Wingdings" w:hAnsi="Wingdings" w:cs="Wingdings" w:hint="default"/>
      </w:rPr>
    </w:lvl>
    <w:lvl w:ilvl="4" w:tplc="DF045E3C">
      <w:start w:val="1"/>
      <w:numFmt w:val="bullet"/>
      <w:lvlText w:val=""/>
      <w:lvlJc w:val="left"/>
      <w:pPr>
        <w:tabs>
          <w:tab w:val="num" w:pos="3600"/>
        </w:tabs>
        <w:ind w:left="3600" w:hanging="360"/>
      </w:pPr>
      <w:rPr>
        <w:rFonts w:ascii="Wingdings" w:hAnsi="Wingdings" w:cs="Wingdings" w:hint="default"/>
      </w:rPr>
    </w:lvl>
    <w:lvl w:ilvl="5" w:tplc="9566194C">
      <w:start w:val="1"/>
      <w:numFmt w:val="bullet"/>
      <w:lvlText w:val=""/>
      <w:lvlJc w:val="left"/>
      <w:pPr>
        <w:tabs>
          <w:tab w:val="num" w:pos="4320"/>
        </w:tabs>
        <w:ind w:left="4320" w:hanging="360"/>
      </w:pPr>
      <w:rPr>
        <w:rFonts w:ascii="Wingdings" w:hAnsi="Wingdings" w:cs="Wingdings" w:hint="default"/>
      </w:rPr>
    </w:lvl>
    <w:lvl w:ilvl="6" w:tplc="BE9E3DA0">
      <w:start w:val="1"/>
      <w:numFmt w:val="bullet"/>
      <w:lvlText w:val=""/>
      <w:lvlJc w:val="left"/>
      <w:pPr>
        <w:tabs>
          <w:tab w:val="num" w:pos="5040"/>
        </w:tabs>
        <w:ind w:left="5040" w:hanging="360"/>
      </w:pPr>
      <w:rPr>
        <w:rFonts w:ascii="Wingdings" w:hAnsi="Wingdings" w:cs="Wingdings" w:hint="default"/>
      </w:rPr>
    </w:lvl>
    <w:lvl w:ilvl="7" w:tplc="99F61C9E">
      <w:start w:val="1"/>
      <w:numFmt w:val="bullet"/>
      <w:lvlText w:val=""/>
      <w:lvlJc w:val="left"/>
      <w:pPr>
        <w:tabs>
          <w:tab w:val="num" w:pos="5760"/>
        </w:tabs>
        <w:ind w:left="5760" w:hanging="360"/>
      </w:pPr>
      <w:rPr>
        <w:rFonts w:ascii="Wingdings" w:hAnsi="Wingdings" w:cs="Wingdings" w:hint="default"/>
      </w:rPr>
    </w:lvl>
    <w:lvl w:ilvl="8" w:tplc="2E668EF0">
      <w:start w:val="1"/>
      <w:numFmt w:val="bullet"/>
      <w:lvlText w:val=""/>
      <w:lvlJc w:val="left"/>
      <w:pPr>
        <w:tabs>
          <w:tab w:val="num" w:pos="6480"/>
        </w:tabs>
        <w:ind w:left="6480" w:hanging="360"/>
      </w:pPr>
      <w:rPr>
        <w:rFonts w:ascii="Wingdings" w:hAnsi="Wingdings" w:cs="Wingdings" w:hint="default"/>
      </w:rPr>
    </w:lvl>
  </w:abstractNum>
  <w:abstractNum w:abstractNumId="16">
    <w:nsid w:val="6DA47D10"/>
    <w:multiLevelType w:val="hybridMultilevel"/>
    <w:tmpl w:val="22709370"/>
    <w:lvl w:ilvl="0" w:tplc="A48CFE5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78A92D52"/>
    <w:multiLevelType w:val="hybridMultilevel"/>
    <w:tmpl w:val="A680E5FA"/>
    <w:lvl w:ilvl="0" w:tplc="3FDEA1F8">
      <w:start w:val="1"/>
      <w:numFmt w:val="bullet"/>
      <w:lvlText w:val=""/>
      <w:lvlJc w:val="left"/>
      <w:pPr>
        <w:tabs>
          <w:tab w:val="num" w:pos="720"/>
        </w:tabs>
        <w:ind w:left="720" w:hanging="360"/>
      </w:pPr>
      <w:rPr>
        <w:rFonts w:ascii="Wingdings" w:hAnsi="Wingdings" w:cs="Wingdings" w:hint="default"/>
      </w:rPr>
    </w:lvl>
    <w:lvl w:ilvl="1" w:tplc="2BD86976">
      <w:start w:val="1"/>
      <w:numFmt w:val="bullet"/>
      <w:lvlText w:val=""/>
      <w:lvlJc w:val="left"/>
      <w:pPr>
        <w:tabs>
          <w:tab w:val="num" w:pos="1440"/>
        </w:tabs>
        <w:ind w:left="1440" w:hanging="360"/>
      </w:pPr>
      <w:rPr>
        <w:rFonts w:ascii="Wingdings" w:hAnsi="Wingdings" w:cs="Wingdings" w:hint="default"/>
      </w:rPr>
    </w:lvl>
    <w:lvl w:ilvl="2" w:tplc="3E30159E">
      <w:start w:val="1"/>
      <w:numFmt w:val="bullet"/>
      <w:lvlText w:val=""/>
      <w:lvlJc w:val="left"/>
      <w:pPr>
        <w:tabs>
          <w:tab w:val="num" w:pos="2160"/>
        </w:tabs>
        <w:ind w:left="2160" w:hanging="360"/>
      </w:pPr>
      <w:rPr>
        <w:rFonts w:ascii="Wingdings" w:hAnsi="Wingdings" w:cs="Wingdings" w:hint="default"/>
      </w:rPr>
    </w:lvl>
    <w:lvl w:ilvl="3" w:tplc="C09A88FE">
      <w:start w:val="1"/>
      <w:numFmt w:val="bullet"/>
      <w:lvlText w:val=""/>
      <w:lvlJc w:val="left"/>
      <w:pPr>
        <w:tabs>
          <w:tab w:val="num" w:pos="2880"/>
        </w:tabs>
        <w:ind w:left="2880" w:hanging="360"/>
      </w:pPr>
      <w:rPr>
        <w:rFonts w:ascii="Wingdings" w:hAnsi="Wingdings" w:cs="Wingdings" w:hint="default"/>
      </w:rPr>
    </w:lvl>
    <w:lvl w:ilvl="4" w:tplc="FEEEA184">
      <w:start w:val="1"/>
      <w:numFmt w:val="bullet"/>
      <w:lvlText w:val=""/>
      <w:lvlJc w:val="left"/>
      <w:pPr>
        <w:tabs>
          <w:tab w:val="num" w:pos="3600"/>
        </w:tabs>
        <w:ind w:left="3600" w:hanging="360"/>
      </w:pPr>
      <w:rPr>
        <w:rFonts w:ascii="Wingdings" w:hAnsi="Wingdings" w:cs="Wingdings" w:hint="default"/>
      </w:rPr>
    </w:lvl>
    <w:lvl w:ilvl="5" w:tplc="D9BC8590">
      <w:start w:val="1"/>
      <w:numFmt w:val="bullet"/>
      <w:lvlText w:val=""/>
      <w:lvlJc w:val="left"/>
      <w:pPr>
        <w:tabs>
          <w:tab w:val="num" w:pos="4320"/>
        </w:tabs>
        <w:ind w:left="4320" w:hanging="360"/>
      </w:pPr>
      <w:rPr>
        <w:rFonts w:ascii="Wingdings" w:hAnsi="Wingdings" w:cs="Wingdings" w:hint="default"/>
      </w:rPr>
    </w:lvl>
    <w:lvl w:ilvl="6" w:tplc="7CA099A6">
      <w:start w:val="1"/>
      <w:numFmt w:val="bullet"/>
      <w:lvlText w:val=""/>
      <w:lvlJc w:val="left"/>
      <w:pPr>
        <w:tabs>
          <w:tab w:val="num" w:pos="5040"/>
        </w:tabs>
        <w:ind w:left="5040" w:hanging="360"/>
      </w:pPr>
      <w:rPr>
        <w:rFonts w:ascii="Wingdings" w:hAnsi="Wingdings" w:cs="Wingdings" w:hint="default"/>
      </w:rPr>
    </w:lvl>
    <w:lvl w:ilvl="7" w:tplc="1AC2F67A">
      <w:start w:val="1"/>
      <w:numFmt w:val="bullet"/>
      <w:lvlText w:val=""/>
      <w:lvlJc w:val="left"/>
      <w:pPr>
        <w:tabs>
          <w:tab w:val="num" w:pos="5760"/>
        </w:tabs>
        <w:ind w:left="5760" w:hanging="360"/>
      </w:pPr>
      <w:rPr>
        <w:rFonts w:ascii="Wingdings" w:hAnsi="Wingdings" w:cs="Wingdings" w:hint="default"/>
      </w:rPr>
    </w:lvl>
    <w:lvl w:ilvl="8" w:tplc="6E7E5A44">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2"/>
  </w:num>
  <w:num w:numId="3">
    <w:abstractNumId w:val="16"/>
  </w:num>
  <w:num w:numId="4">
    <w:abstractNumId w:val="14"/>
  </w:num>
  <w:num w:numId="5">
    <w:abstractNumId w:val="15"/>
  </w:num>
  <w:num w:numId="6">
    <w:abstractNumId w:val="17"/>
  </w:num>
  <w:num w:numId="7">
    <w:abstractNumId w:val="10"/>
  </w:num>
  <w:num w:numId="8">
    <w:abstractNumId w:val="1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6E5"/>
    <w:rsid w:val="00000D33"/>
    <w:rsid w:val="00001C2B"/>
    <w:rsid w:val="00002F5A"/>
    <w:rsid w:val="000040E0"/>
    <w:rsid w:val="00004EA5"/>
    <w:rsid w:val="00007EFB"/>
    <w:rsid w:val="00010C72"/>
    <w:rsid w:val="00014A44"/>
    <w:rsid w:val="000373FD"/>
    <w:rsid w:val="00040760"/>
    <w:rsid w:val="00041DB3"/>
    <w:rsid w:val="000434B5"/>
    <w:rsid w:val="0004635A"/>
    <w:rsid w:val="00046FB4"/>
    <w:rsid w:val="00052845"/>
    <w:rsid w:val="00052D34"/>
    <w:rsid w:val="000553BF"/>
    <w:rsid w:val="00057D63"/>
    <w:rsid w:val="00065DDE"/>
    <w:rsid w:val="00066CF2"/>
    <w:rsid w:val="00072EA7"/>
    <w:rsid w:val="000879F5"/>
    <w:rsid w:val="00095CC4"/>
    <w:rsid w:val="000976DC"/>
    <w:rsid w:val="000A1E41"/>
    <w:rsid w:val="000A20CC"/>
    <w:rsid w:val="000A2CF0"/>
    <w:rsid w:val="000A32AF"/>
    <w:rsid w:val="000A3D3D"/>
    <w:rsid w:val="000A5EE7"/>
    <w:rsid w:val="000A6E4B"/>
    <w:rsid w:val="000B1163"/>
    <w:rsid w:val="000B2EE7"/>
    <w:rsid w:val="000B60DA"/>
    <w:rsid w:val="000C32E4"/>
    <w:rsid w:val="000C37C5"/>
    <w:rsid w:val="000C524F"/>
    <w:rsid w:val="000C777E"/>
    <w:rsid w:val="000D1BD7"/>
    <w:rsid w:val="000D2A23"/>
    <w:rsid w:val="000D5AD0"/>
    <w:rsid w:val="000D604E"/>
    <w:rsid w:val="000E0797"/>
    <w:rsid w:val="000F0342"/>
    <w:rsid w:val="000F7049"/>
    <w:rsid w:val="000F7655"/>
    <w:rsid w:val="000F7A94"/>
    <w:rsid w:val="00117E40"/>
    <w:rsid w:val="0012240D"/>
    <w:rsid w:val="00126023"/>
    <w:rsid w:val="00126ECB"/>
    <w:rsid w:val="00127FD5"/>
    <w:rsid w:val="00130100"/>
    <w:rsid w:val="00136802"/>
    <w:rsid w:val="001464B8"/>
    <w:rsid w:val="00152EA3"/>
    <w:rsid w:val="00156583"/>
    <w:rsid w:val="001629A7"/>
    <w:rsid w:val="001645FA"/>
    <w:rsid w:val="00165C43"/>
    <w:rsid w:val="00165CDB"/>
    <w:rsid w:val="0017194A"/>
    <w:rsid w:val="00172207"/>
    <w:rsid w:val="00172C07"/>
    <w:rsid w:val="00173478"/>
    <w:rsid w:val="00176669"/>
    <w:rsid w:val="00182648"/>
    <w:rsid w:val="0018421D"/>
    <w:rsid w:val="00184D41"/>
    <w:rsid w:val="00184E16"/>
    <w:rsid w:val="0018737E"/>
    <w:rsid w:val="001A0DBC"/>
    <w:rsid w:val="001A1217"/>
    <w:rsid w:val="001A7ECD"/>
    <w:rsid w:val="001B24B1"/>
    <w:rsid w:val="001B67F9"/>
    <w:rsid w:val="001C3937"/>
    <w:rsid w:val="001C414C"/>
    <w:rsid w:val="001C7BE6"/>
    <w:rsid w:val="001D290E"/>
    <w:rsid w:val="001E2C1C"/>
    <w:rsid w:val="001E57EA"/>
    <w:rsid w:val="001E7C89"/>
    <w:rsid w:val="001F6348"/>
    <w:rsid w:val="001F7158"/>
    <w:rsid w:val="00202533"/>
    <w:rsid w:val="00203395"/>
    <w:rsid w:val="00206306"/>
    <w:rsid w:val="00206AD3"/>
    <w:rsid w:val="00212A8C"/>
    <w:rsid w:val="002157AB"/>
    <w:rsid w:val="00224509"/>
    <w:rsid w:val="00231AF4"/>
    <w:rsid w:val="00242668"/>
    <w:rsid w:val="0024565B"/>
    <w:rsid w:val="00260659"/>
    <w:rsid w:val="0026066D"/>
    <w:rsid w:val="002621EA"/>
    <w:rsid w:val="002654DE"/>
    <w:rsid w:val="0026591F"/>
    <w:rsid w:val="00267FF0"/>
    <w:rsid w:val="002713A5"/>
    <w:rsid w:val="002825AA"/>
    <w:rsid w:val="00283290"/>
    <w:rsid w:val="00286C08"/>
    <w:rsid w:val="002A06B7"/>
    <w:rsid w:val="002B2AA1"/>
    <w:rsid w:val="002B41B9"/>
    <w:rsid w:val="002B667F"/>
    <w:rsid w:val="002C04F5"/>
    <w:rsid w:val="002C0BD5"/>
    <w:rsid w:val="002C2AFD"/>
    <w:rsid w:val="002C36D2"/>
    <w:rsid w:val="002C4771"/>
    <w:rsid w:val="002C707F"/>
    <w:rsid w:val="002D35A0"/>
    <w:rsid w:val="002D41C5"/>
    <w:rsid w:val="002E0D63"/>
    <w:rsid w:val="002E13B8"/>
    <w:rsid w:val="002E5A8E"/>
    <w:rsid w:val="002E758A"/>
    <w:rsid w:val="002F14A7"/>
    <w:rsid w:val="002F2D27"/>
    <w:rsid w:val="002F2E8B"/>
    <w:rsid w:val="002F3EB2"/>
    <w:rsid w:val="002F43CB"/>
    <w:rsid w:val="00300C6C"/>
    <w:rsid w:val="00303C91"/>
    <w:rsid w:val="00304FBE"/>
    <w:rsid w:val="00313524"/>
    <w:rsid w:val="003140E8"/>
    <w:rsid w:val="00316EA9"/>
    <w:rsid w:val="003249C1"/>
    <w:rsid w:val="003270CA"/>
    <w:rsid w:val="00331C73"/>
    <w:rsid w:val="003352D9"/>
    <w:rsid w:val="0034158B"/>
    <w:rsid w:val="00343E99"/>
    <w:rsid w:val="003440BE"/>
    <w:rsid w:val="00344DDE"/>
    <w:rsid w:val="00346090"/>
    <w:rsid w:val="00355F47"/>
    <w:rsid w:val="00356FEB"/>
    <w:rsid w:val="00365276"/>
    <w:rsid w:val="0036731F"/>
    <w:rsid w:val="003713D4"/>
    <w:rsid w:val="00371537"/>
    <w:rsid w:val="003825A0"/>
    <w:rsid w:val="00384554"/>
    <w:rsid w:val="003864BE"/>
    <w:rsid w:val="003A058B"/>
    <w:rsid w:val="003A1C91"/>
    <w:rsid w:val="003A3EA5"/>
    <w:rsid w:val="003A43CB"/>
    <w:rsid w:val="003A579B"/>
    <w:rsid w:val="003B31AD"/>
    <w:rsid w:val="003C3318"/>
    <w:rsid w:val="003E4385"/>
    <w:rsid w:val="003F6FE9"/>
    <w:rsid w:val="00403677"/>
    <w:rsid w:val="00412D04"/>
    <w:rsid w:val="0041334E"/>
    <w:rsid w:val="00413FCD"/>
    <w:rsid w:val="0042281D"/>
    <w:rsid w:val="00423FEA"/>
    <w:rsid w:val="00424FBE"/>
    <w:rsid w:val="0043418D"/>
    <w:rsid w:val="004369CC"/>
    <w:rsid w:val="00440286"/>
    <w:rsid w:val="00444D55"/>
    <w:rsid w:val="004536F9"/>
    <w:rsid w:val="00453B1E"/>
    <w:rsid w:val="004543F6"/>
    <w:rsid w:val="00455116"/>
    <w:rsid w:val="00456414"/>
    <w:rsid w:val="0045698C"/>
    <w:rsid w:val="004575E1"/>
    <w:rsid w:val="004736B6"/>
    <w:rsid w:val="004765A9"/>
    <w:rsid w:val="004801FC"/>
    <w:rsid w:val="00480444"/>
    <w:rsid w:val="0049300F"/>
    <w:rsid w:val="004957C9"/>
    <w:rsid w:val="004A56BE"/>
    <w:rsid w:val="004B2FAE"/>
    <w:rsid w:val="004C10E6"/>
    <w:rsid w:val="004C4EEF"/>
    <w:rsid w:val="004C4FB6"/>
    <w:rsid w:val="004C64D1"/>
    <w:rsid w:val="004D0F8F"/>
    <w:rsid w:val="004E701F"/>
    <w:rsid w:val="004F280E"/>
    <w:rsid w:val="004F2973"/>
    <w:rsid w:val="004F3D6C"/>
    <w:rsid w:val="004F457B"/>
    <w:rsid w:val="005002BF"/>
    <w:rsid w:val="00511526"/>
    <w:rsid w:val="00512396"/>
    <w:rsid w:val="00514DE1"/>
    <w:rsid w:val="00517C19"/>
    <w:rsid w:val="00517DD6"/>
    <w:rsid w:val="00520D37"/>
    <w:rsid w:val="0053052F"/>
    <w:rsid w:val="00530CAA"/>
    <w:rsid w:val="0053128B"/>
    <w:rsid w:val="00532E7B"/>
    <w:rsid w:val="005331BA"/>
    <w:rsid w:val="0053718D"/>
    <w:rsid w:val="00537427"/>
    <w:rsid w:val="00545848"/>
    <w:rsid w:val="0055421B"/>
    <w:rsid w:val="00560F11"/>
    <w:rsid w:val="00562A1D"/>
    <w:rsid w:val="00562F1A"/>
    <w:rsid w:val="00563DC8"/>
    <w:rsid w:val="00567924"/>
    <w:rsid w:val="005703AE"/>
    <w:rsid w:val="005742A7"/>
    <w:rsid w:val="0057446A"/>
    <w:rsid w:val="005822A0"/>
    <w:rsid w:val="0058293E"/>
    <w:rsid w:val="00584C68"/>
    <w:rsid w:val="00593DCF"/>
    <w:rsid w:val="00595A12"/>
    <w:rsid w:val="00595AE8"/>
    <w:rsid w:val="00597BAE"/>
    <w:rsid w:val="005A34F9"/>
    <w:rsid w:val="005A580D"/>
    <w:rsid w:val="005B3097"/>
    <w:rsid w:val="005B4C57"/>
    <w:rsid w:val="005B5123"/>
    <w:rsid w:val="005B7F88"/>
    <w:rsid w:val="005C0FA1"/>
    <w:rsid w:val="005D149B"/>
    <w:rsid w:val="005D4640"/>
    <w:rsid w:val="005D6B45"/>
    <w:rsid w:val="005E1988"/>
    <w:rsid w:val="005E2C81"/>
    <w:rsid w:val="005E4B8F"/>
    <w:rsid w:val="005E5D6F"/>
    <w:rsid w:val="005E7EB4"/>
    <w:rsid w:val="005F2316"/>
    <w:rsid w:val="005F5951"/>
    <w:rsid w:val="005F5C66"/>
    <w:rsid w:val="00602F3A"/>
    <w:rsid w:val="0060330B"/>
    <w:rsid w:val="00607471"/>
    <w:rsid w:val="00610005"/>
    <w:rsid w:val="006111CD"/>
    <w:rsid w:val="0061335C"/>
    <w:rsid w:val="00614410"/>
    <w:rsid w:val="00616B1F"/>
    <w:rsid w:val="00617271"/>
    <w:rsid w:val="00617E17"/>
    <w:rsid w:val="0062257B"/>
    <w:rsid w:val="00625B17"/>
    <w:rsid w:val="00625CBA"/>
    <w:rsid w:val="00632A16"/>
    <w:rsid w:val="006352AC"/>
    <w:rsid w:val="006355F7"/>
    <w:rsid w:val="00642E6F"/>
    <w:rsid w:val="00644F9A"/>
    <w:rsid w:val="0064684D"/>
    <w:rsid w:val="006517E6"/>
    <w:rsid w:val="00654570"/>
    <w:rsid w:val="006545AF"/>
    <w:rsid w:val="00661345"/>
    <w:rsid w:val="00664576"/>
    <w:rsid w:val="006776E3"/>
    <w:rsid w:val="006776FF"/>
    <w:rsid w:val="0068031D"/>
    <w:rsid w:val="00685698"/>
    <w:rsid w:val="00685F01"/>
    <w:rsid w:val="00694322"/>
    <w:rsid w:val="00696A02"/>
    <w:rsid w:val="006A15FB"/>
    <w:rsid w:val="006A182F"/>
    <w:rsid w:val="006A3F64"/>
    <w:rsid w:val="006B04E2"/>
    <w:rsid w:val="006B3A6E"/>
    <w:rsid w:val="006B3D63"/>
    <w:rsid w:val="006B4A58"/>
    <w:rsid w:val="006B6F59"/>
    <w:rsid w:val="006B7C64"/>
    <w:rsid w:val="006C2D46"/>
    <w:rsid w:val="006C5BB0"/>
    <w:rsid w:val="006D1E8B"/>
    <w:rsid w:val="006D6D96"/>
    <w:rsid w:val="006E3D48"/>
    <w:rsid w:val="006E4F03"/>
    <w:rsid w:val="006E5745"/>
    <w:rsid w:val="006E75C7"/>
    <w:rsid w:val="006F28BD"/>
    <w:rsid w:val="006F2B97"/>
    <w:rsid w:val="006F5240"/>
    <w:rsid w:val="006F5F8F"/>
    <w:rsid w:val="00700621"/>
    <w:rsid w:val="00702966"/>
    <w:rsid w:val="00706DA4"/>
    <w:rsid w:val="00711D1F"/>
    <w:rsid w:val="00715ABC"/>
    <w:rsid w:val="007173E5"/>
    <w:rsid w:val="00720315"/>
    <w:rsid w:val="007325E3"/>
    <w:rsid w:val="00732914"/>
    <w:rsid w:val="007353BD"/>
    <w:rsid w:val="00737B68"/>
    <w:rsid w:val="00740D40"/>
    <w:rsid w:val="007451AB"/>
    <w:rsid w:val="00750F96"/>
    <w:rsid w:val="00752A0A"/>
    <w:rsid w:val="00752F22"/>
    <w:rsid w:val="00754127"/>
    <w:rsid w:val="00756402"/>
    <w:rsid w:val="00761ABD"/>
    <w:rsid w:val="00761FE9"/>
    <w:rsid w:val="00762AC1"/>
    <w:rsid w:val="007649C3"/>
    <w:rsid w:val="00765EA1"/>
    <w:rsid w:val="00766FB4"/>
    <w:rsid w:val="00767F20"/>
    <w:rsid w:val="00770BD8"/>
    <w:rsid w:val="00775957"/>
    <w:rsid w:val="007768E3"/>
    <w:rsid w:val="00777633"/>
    <w:rsid w:val="007817A1"/>
    <w:rsid w:val="00785740"/>
    <w:rsid w:val="00791D84"/>
    <w:rsid w:val="00793A44"/>
    <w:rsid w:val="00796929"/>
    <w:rsid w:val="00797F97"/>
    <w:rsid w:val="007A01D3"/>
    <w:rsid w:val="007A14FA"/>
    <w:rsid w:val="007A30E1"/>
    <w:rsid w:val="007A5DEF"/>
    <w:rsid w:val="007B005C"/>
    <w:rsid w:val="007B2E00"/>
    <w:rsid w:val="007B3AC9"/>
    <w:rsid w:val="007B428D"/>
    <w:rsid w:val="007C0E11"/>
    <w:rsid w:val="007C14F8"/>
    <w:rsid w:val="007C213A"/>
    <w:rsid w:val="007C3632"/>
    <w:rsid w:val="007D03B3"/>
    <w:rsid w:val="007D0CA8"/>
    <w:rsid w:val="007D2DF4"/>
    <w:rsid w:val="007D5383"/>
    <w:rsid w:val="007D6C36"/>
    <w:rsid w:val="007D70EF"/>
    <w:rsid w:val="007E694E"/>
    <w:rsid w:val="007F6835"/>
    <w:rsid w:val="007F7452"/>
    <w:rsid w:val="0081003C"/>
    <w:rsid w:val="00811579"/>
    <w:rsid w:val="00811BE4"/>
    <w:rsid w:val="0081376D"/>
    <w:rsid w:val="00813A75"/>
    <w:rsid w:val="00814D3A"/>
    <w:rsid w:val="00814F34"/>
    <w:rsid w:val="0081705B"/>
    <w:rsid w:val="008210C9"/>
    <w:rsid w:val="0082220F"/>
    <w:rsid w:val="00831EA8"/>
    <w:rsid w:val="008361BC"/>
    <w:rsid w:val="00840032"/>
    <w:rsid w:val="008417CF"/>
    <w:rsid w:val="0084454E"/>
    <w:rsid w:val="00846A64"/>
    <w:rsid w:val="0084723D"/>
    <w:rsid w:val="00851ECC"/>
    <w:rsid w:val="00852E54"/>
    <w:rsid w:val="008557B4"/>
    <w:rsid w:val="0085682A"/>
    <w:rsid w:val="00856AD0"/>
    <w:rsid w:val="00856D2B"/>
    <w:rsid w:val="0086039B"/>
    <w:rsid w:val="0087642B"/>
    <w:rsid w:val="00876B46"/>
    <w:rsid w:val="00877A48"/>
    <w:rsid w:val="0089112A"/>
    <w:rsid w:val="00891BBA"/>
    <w:rsid w:val="00892C14"/>
    <w:rsid w:val="00895C1E"/>
    <w:rsid w:val="008970C8"/>
    <w:rsid w:val="008A05D9"/>
    <w:rsid w:val="008A09D4"/>
    <w:rsid w:val="008A1133"/>
    <w:rsid w:val="008A49E7"/>
    <w:rsid w:val="008A52B1"/>
    <w:rsid w:val="008A63E8"/>
    <w:rsid w:val="008B765A"/>
    <w:rsid w:val="008C02EA"/>
    <w:rsid w:val="008C1223"/>
    <w:rsid w:val="008C471B"/>
    <w:rsid w:val="008C4C21"/>
    <w:rsid w:val="008D1569"/>
    <w:rsid w:val="008D189A"/>
    <w:rsid w:val="008D256E"/>
    <w:rsid w:val="008D2A51"/>
    <w:rsid w:val="008D6E3B"/>
    <w:rsid w:val="008D7D27"/>
    <w:rsid w:val="008E0081"/>
    <w:rsid w:val="008E474F"/>
    <w:rsid w:val="008E70DB"/>
    <w:rsid w:val="008F1CF6"/>
    <w:rsid w:val="008F2720"/>
    <w:rsid w:val="008F3591"/>
    <w:rsid w:val="008F7101"/>
    <w:rsid w:val="008F736D"/>
    <w:rsid w:val="008F7647"/>
    <w:rsid w:val="00901C6D"/>
    <w:rsid w:val="00904842"/>
    <w:rsid w:val="00905A45"/>
    <w:rsid w:val="00907476"/>
    <w:rsid w:val="0091642C"/>
    <w:rsid w:val="00921EB6"/>
    <w:rsid w:val="009324A5"/>
    <w:rsid w:val="00932584"/>
    <w:rsid w:val="00935D7E"/>
    <w:rsid w:val="00937070"/>
    <w:rsid w:val="0094079A"/>
    <w:rsid w:val="00940A09"/>
    <w:rsid w:val="0094291C"/>
    <w:rsid w:val="00950062"/>
    <w:rsid w:val="00951CE5"/>
    <w:rsid w:val="0095364A"/>
    <w:rsid w:val="0095585F"/>
    <w:rsid w:val="0096528B"/>
    <w:rsid w:val="00973F8B"/>
    <w:rsid w:val="009771F1"/>
    <w:rsid w:val="00980B62"/>
    <w:rsid w:val="00980C09"/>
    <w:rsid w:val="00982979"/>
    <w:rsid w:val="009900C6"/>
    <w:rsid w:val="00993E9B"/>
    <w:rsid w:val="00996C57"/>
    <w:rsid w:val="009A1280"/>
    <w:rsid w:val="009A31EB"/>
    <w:rsid w:val="009B081B"/>
    <w:rsid w:val="009B140B"/>
    <w:rsid w:val="009B5E96"/>
    <w:rsid w:val="009B6DC7"/>
    <w:rsid w:val="009C0E45"/>
    <w:rsid w:val="009C27C5"/>
    <w:rsid w:val="009C3E6B"/>
    <w:rsid w:val="009C6322"/>
    <w:rsid w:val="009D0A03"/>
    <w:rsid w:val="009D4948"/>
    <w:rsid w:val="009D4B7D"/>
    <w:rsid w:val="009E03C4"/>
    <w:rsid w:val="009E3E20"/>
    <w:rsid w:val="009F0817"/>
    <w:rsid w:val="009F1249"/>
    <w:rsid w:val="009F2873"/>
    <w:rsid w:val="00A02240"/>
    <w:rsid w:val="00A11B17"/>
    <w:rsid w:val="00A135B4"/>
    <w:rsid w:val="00A1427A"/>
    <w:rsid w:val="00A20001"/>
    <w:rsid w:val="00A266E5"/>
    <w:rsid w:val="00A34E10"/>
    <w:rsid w:val="00A408BD"/>
    <w:rsid w:val="00A43AF3"/>
    <w:rsid w:val="00A43B7C"/>
    <w:rsid w:val="00A45945"/>
    <w:rsid w:val="00A51181"/>
    <w:rsid w:val="00A5413A"/>
    <w:rsid w:val="00A54BAF"/>
    <w:rsid w:val="00A60BE9"/>
    <w:rsid w:val="00A61304"/>
    <w:rsid w:val="00A623B1"/>
    <w:rsid w:val="00A6469F"/>
    <w:rsid w:val="00A65812"/>
    <w:rsid w:val="00A66851"/>
    <w:rsid w:val="00A70FB7"/>
    <w:rsid w:val="00A74005"/>
    <w:rsid w:val="00A77322"/>
    <w:rsid w:val="00A8050A"/>
    <w:rsid w:val="00A81DB2"/>
    <w:rsid w:val="00A838C2"/>
    <w:rsid w:val="00A84193"/>
    <w:rsid w:val="00A857CA"/>
    <w:rsid w:val="00A95409"/>
    <w:rsid w:val="00A95E66"/>
    <w:rsid w:val="00A96850"/>
    <w:rsid w:val="00A97013"/>
    <w:rsid w:val="00AA2A2A"/>
    <w:rsid w:val="00AA46F5"/>
    <w:rsid w:val="00AA7B25"/>
    <w:rsid w:val="00AB07AA"/>
    <w:rsid w:val="00AB297D"/>
    <w:rsid w:val="00AB2B49"/>
    <w:rsid w:val="00AB3EC9"/>
    <w:rsid w:val="00AB45AD"/>
    <w:rsid w:val="00AB7DED"/>
    <w:rsid w:val="00AC042C"/>
    <w:rsid w:val="00AC1646"/>
    <w:rsid w:val="00AC2824"/>
    <w:rsid w:val="00AC3335"/>
    <w:rsid w:val="00AC62F8"/>
    <w:rsid w:val="00AC7E6E"/>
    <w:rsid w:val="00AD203B"/>
    <w:rsid w:val="00AE0C9A"/>
    <w:rsid w:val="00AE123F"/>
    <w:rsid w:val="00AE5254"/>
    <w:rsid w:val="00AE6DD9"/>
    <w:rsid w:val="00AF1784"/>
    <w:rsid w:val="00AF61FD"/>
    <w:rsid w:val="00B02C1F"/>
    <w:rsid w:val="00B04E31"/>
    <w:rsid w:val="00B05AF8"/>
    <w:rsid w:val="00B0656A"/>
    <w:rsid w:val="00B073AC"/>
    <w:rsid w:val="00B175AF"/>
    <w:rsid w:val="00B20A4F"/>
    <w:rsid w:val="00B2222C"/>
    <w:rsid w:val="00B22F73"/>
    <w:rsid w:val="00B2451F"/>
    <w:rsid w:val="00B2504C"/>
    <w:rsid w:val="00B26B15"/>
    <w:rsid w:val="00B2773B"/>
    <w:rsid w:val="00B2791A"/>
    <w:rsid w:val="00B34419"/>
    <w:rsid w:val="00B403CA"/>
    <w:rsid w:val="00B4251D"/>
    <w:rsid w:val="00B426C8"/>
    <w:rsid w:val="00B43188"/>
    <w:rsid w:val="00B461EF"/>
    <w:rsid w:val="00B478BA"/>
    <w:rsid w:val="00B501A3"/>
    <w:rsid w:val="00B51F55"/>
    <w:rsid w:val="00B52101"/>
    <w:rsid w:val="00B57BE0"/>
    <w:rsid w:val="00B61BA4"/>
    <w:rsid w:val="00B63A77"/>
    <w:rsid w:val="00B660E6"/>
    <w:rsid w:val="00B70E6A"/>
    <w:rsid w:val="00B714E6"/>
    <w:rsid w:val="00B73EE4"/>
    <w:rsid w:val="00B754D0"/>
    <w:rsid w:val="00B75948"/>
    <w:rsid w:val="00B760E7"/>
    <w:rsid w:val="00B76C2F"/>
    <w:rsid w:val="00B807CD"/>
    <w:rsid w:val="00B83451"/>
    <w:rsid w:val="00B849E9"/>
    <w:rsid w:val="00B84E63"/>
    <w:rsid w:val="00BA06FF"/>
    <w:rsid w:val="00BA0D61"/>
    <w:rsid w:val="00BC531A"/>
    <w:rsid w:val="00BC6D10"/>
    <w:rsid w:val="00BC77A3"/>
    <w:rsid w:val="00BD12C2"/>
    <w:rsid w:val="00BD1D46"/>
    <w:rsid w:val="00BD2A54"/>
    <w:rsid w:val="00BD3F18"/>
    <w:rsid w:val="00BD40DB"/>
    <w:rsid w:val="00BD51F5"/>
    <w:rsid w:val="00BD6933"/>
    <w:rsid w:val="00BD7D9F"/>
    <w:rsid w:val="00BE3C37"/>
    <w:rsid w:val="00BE4B81"/>
    <w:rsid w:val="00BE5710"/>
    <w:rsid w:val="00BE7FDF"/>
    <w:rsid w:val="00BF1DD7"/>
    <w:rsid w:val="00C0326B"/>
    <w:rsid w:val="00C07D30"/>
    <w:rsid w:val="00C13DC8"/>
    <w:rsid w:val="00C22FE5"/>
    <w:rsid w:val="00C2641C"/>
    <w:rsid w:val="00C329F9"/>
    <w:rsid w:val="00C37E98"/>
    <w:rsid w:val="00C422E6"/>
    <w:rsid w:val="00C42AA3"/>
    <w:rsid w:val="00C45F99"/>
    <w:rsid w:val="00C4765C"/>
    <w:rsid w:val="00C60E26"/>
    <w:rsid w:val="00C67A43"/>
    <w:rsid w:val="00C70D58"/>
    <w:rsid w:val="00C74018"/>
    <w:rsid w:val="00C74FDF"/>
    <w:rsid w:val="00C84D81"/>
    <w:rsid w:val="00C941CA"/>
    <w:rsid w:val="00C94253"/>
    <w:rsid w:val="00CA085C"/>
    <w:rsid w:val="00CA4477"/>
    <w:rsid w:val="00CA48EC"/>
    <w:rsid w:val="00CA5320"/>
    <w:rsid w:val="00CA5DE6"/>
    <w:rsid w:val="00CB0785"/>
    <w:rsid w:val="00CB20C6"/>
    <w:rsid w:val="00CB25B6"/>
    <w:rsid w:val="00CB46F4"/>
    <w:rsid w:val="00CB4ECB"/>
    <w:rsid w:val="00CB54B1"/>
    <w:rsid w:val="00CB70CF"/>
    <w:rsid w:val="00CC4D4B"/>
    <w:rsid w:val="00CD2D84"/>
    <w:rsid w:val="00CD2E5D"/>
    <w:rsid w:val="00CD31B8"/>
    <w:rsid w:val="00CD42EE"/>
    <w:rsid w:val="00CD4B3A"/>
    <w:rsid w:val="00CD7D55"/>
    <w:rsid w:val="00CE622D"/>
    <w:rsid w:val="00CF2A8A"/>
    <w:rsid w:val="00CF34B1"/>
    <w:rsid w:val="00D02D08"/>
    <w:rsid w:val="00D075E5"/>
    <w:rsid w:val="00D11E74"/>
    <w:rsid w:val="00D15040"/>
    <w:rsid w:val="00D16D82"/>
    <w:rsid w:val="00D17444"/>
    <w:rsid w:val="00D20EB3"/>
    <w:rsid w:val="00D23A2E"/>
    <w:rsid w:val="00D25476"/>
    <w:rsid w:val="00D31457"/>
    <w:rsid w:val="00D31D85"/>
    <w:rsid w:val="00D33B93"/>
    <w:rsid w:val="00D371E2"/>
    <w:rsid w:val="00D41183"/>
    <w:rsid w:val="00D431D2"/>
    <w:rsid w:val="00D4406A"/>
    <w:rsid w:val="00D44362"/>
    <w:rsid w:val="00D452F8"/>
    <w:rsid w:val="00D552ED"/>
    <w:rsid w:val="00D611CC"/>
    <w:rsid w:val="00D634A6"/>
    <w:rsid w:val="00D66988"/>
    <w:rsid w:val="00D67692"/>
    <w:rsid w:val="00D743D7"/>
    <w:rsid w:val="00D748DE"/>
    <w:rsid w:val="00D812F0"/>
    <w:rsid w:val="00D82724"/>
    <w:rsid w:val="00D843DD"/>
    <w:rsid w:val="00D876F3"/>
    <w:rsid w:val="00D877C4"/>
    <w:rsid w:val="00D879A9"/>
    <w:rsid w:val="00D963A2"/>
    <w:rsid w:val="00D96422"/>
    <w:rsid w:val="00DA2D6F"/>
    <w:rsid w:val="00DA3C5B"/>
    <w:rsid w:val="00DA4B7E"/>
    <w:rsid w:val="00DB5DF4"/>
    <w:rsid w:val="00DB6E2A"/>
    <w:rsid w:val="00DC0610"/>
    <w:rsid w:val="00DC26BA"/>
    <w:rsid w:val="00DC37D7"/>
    <w:rsid w:val="00DC71D7"/>
    <w:rsid w:val="00DD0EEB"/>
    <w:rsid w:val="00DD1B1F"/>
    <w:rsid w:val="00DD3851"/>
    <w:rsid w:val="00DD3E11"/>
    <w:rsid w:val="00DD5508"/>
    <w:rsid w:val="00DE1437"/>
    <w:rsid w:val="00DE3417"/>
    <w:rsid w:val="00DE3D92"/>
    <w:rsid w:val="00DE5698"/>
    <w:rsid w:val="00DF310E"/>
    <w:rsid w:val="00E00296"/>
    <w:rsid w:val="00E01B3F"/>
    <w:rsid w:val="00E04FE7"/>
    <w:rsid w:val="00E10F2E"/>
    <w:rsid w:val="00E140BC"/>
    <w:rsid w:val="00E147EF"/>
    <w:rsid w:val="00E2243F"/>
    <w:rsid w:val="00E228B3"/>
    <w:rsid w:val="00E233EE"/>
    <w:rsid w:val="00E26E35"/>
    <w:rsid w:val="00E27516"/>
    <w:rsid w:val="00E31C04"/>
    <w:rsid w:val="00E33C0D"/>
    <w:rsid w:val="00E42A4B"/>
    <w:rsid w:val="00E44EBB"/>
    <w:rsid w:val="00E460AB"/>
    <w:rsid w:val="00E47CAE"/>
    <w:rsid w:val="00E53EEF"/>
    <w:rsid w:val="00E578B5"/>
    <w:rsid w:val="00E60B70"/>
    <w:rsid w:val="00E626AE"/>
    <w:rsid w:val="00E67201"/>
    <w:rsid w:val="00E67512"/>
    <w:rsid w:val="00E7104A"/>
    <w:rsid w:val="00E7190A"/>
    <w:rsid w:val="00E728B6"/>
    <w:rsid w:val="00E7334D"/>
    <w:rsid w:val="00E73A07"/>
    <w:rsid w:val="00E826A5"/>
    <w:rsid w:val="00E82CBC"/>
    <w:rsid w:val="00E83154"/>
    <w:rsid w:val="00E84F0E"/>
    <w:rsid w:val="00E85625"/>
    <w:rsid w:val="00E85636"/>
    <w:rsid w:val="00E861E9"/>
    <w:rsid w:val="00E865CE"/>
    <w:rsid w:val="00E878EE"/>
    <w:rsid w:val="00E931DE"/>
    <w:rsid w:val="00EA60F1"/>
    <w:rsid w:val="00EB027C"/>
    <w:rsid w:val="00EB4BE5"/>
    <w:rsid w:val="00EB531D"/>
    <w:rsid w:val="00EB5584"/>
    <w:rsid w:val="00EC313B"/>
    <w:rsid w:val="00EC3E56"/>
    <w:rsid w:val="00EC632C"/>
    <w:rsid w:val="00ED16EC"/>
    <w:rsid w:val="00ED18A8"/>
    <w:rsid w:val="00ED1FBC"/>
    <w:rsid w:val="00ED38B0"/>
    <w:rsid w:val="00ED5A18"/>
    <w:rsid w:val="00ED78EA"/>
    <w:rsid w:val="00EE06EB"/>
    <w:rsid w:val="00EE0DDB"/>
    <w:rsid w:val="00EE4AA7"/>
    <w:rsid w:val="00EE5711"/>
    <w:rsid w:val="00EE5C7F"/>
    <w:rsid w:val="00EF0E69"/>
    <w:rsid w:val="00EF3F81"/>
    <w:rsid w:val="00EF5A43"/>
    <w:rsid w:val="00EF6EF8"/>
    <w:rsid w:val="00EF7457"/>
    <w:rsid w:val="00F00968"/>
    <w:rsid w:val="00F020E7"/>
    <w:rsid w:val="00F04F72"/>
    <w:rsid w:val="00F060BA"/>
    <w:rsid w:val="00F07AB7"/>
    <w:rsid w:val="00F10E04"/>
    <w:rsid w:val="00F20673"/>
    <w:rsid w:val="00F215A5"/>
    <w:rsid w:val="00F23C7A"/>
    <w:rsid w:val="00F40112"/>
    <w:rsid w:val="00F40B64"/>
    <w:rsid w:val="00F44895"/>
    <w:rsid w:val="00F44B58"/>
    <w:rsid w:val="00F47F5F"/>
    <w:rsid w:val="00F63DA0"/>
    <w:rsid w:val="00F641B1"/>
    <w:rsid w:val="00F70396"/>
    <w:rsid w:val="00F74314"/>
    <w:rsid w:val="00F7431F"/>
    <w:rsid w:val="00F84869"/>
    <w:rsid w:val="00F84D2F"/>
    <w:rsid w:val="00F95718"/>
    <w:rsid w:val="00F95F07"/>
    <w:rsid w:val="00F964BB"/>
    <w:rsid w:val="00FA3807"/>
    <w:rsid w:val="00FA507D"/>
    <w:rsid w:val="00FA734F"/>
    <w:rsid w:val="00FB2169"/>
    <w:rsid w:val="00FB2936"/>
    <w:rsid w:val="00FB43FE"/>
    <w:rsid w:val="00FB5280"/>
    <w:rsid w:val="00FC05D7"/>
    <w:rsid w:val="00FC3A5B"/>
    <w:rsid w:val="00FC4844"/>
    <w:rsid w:val="00FC7BC7"/>
    <w:rsid w:val="00FD0447"/>
    <w:rsid w:val="00FD1184"/>
    <w:rsid w:val="00FD14AA"/>
    <w:rsid w:val="00FD47C1"/>
    <w:rsid w:val="00FD5330"/>
    <w:rsid w:val="00FE0901"/>
    <w:rsid w:val="00FE2A46"/>
    <w:rsid w:val="00FE3686"/>
    <w:rsid w:val="00FE4C07"/>
    <w:rsid w:val="00FE61C3"/>
    <w:rsid w:val="00FF4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CE132A-2496-4B14-847A-F7B0F31F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988"/>
    <w:pPr>
      <w:widowControl w:val="0"/>
    </w:pPr>
    <w:rPr>
      <w:rFonts w:cs="Calibri"/>
      <w:kern w:val="2"/>
      <w:sz w:val="24"/>
      <w:szCs w:val="24"/>
    </w:rPr>
  </w:style>
  <w:style w:type="paragraph" w:styleId="2">
    <w:name w:val="heading 2"/>
    <w:basedOn w:val="a"/>
    <w:next w:val="a"/>
    <w:link w:val="20"/>
    <w:uiPriority w:val="99"/>
    <w:qFormat/>
    <w:locked/>
    <w:rsid w:val="00B501A3"/>
    <w:pPr>
      <w:autoSpaceDE w:val="0"/>
      <w:autoSpaceDN w:val="0"/>
      <w:adjustRightInd w:val="0"/>
      <w:ind w:left="270" w:hanging="270"/>
      <w:outlineLvl w:val="1"/>
    </w:pPr>
    <w:rPr>
      <w:rFonts w:ascii="Cambria" w:hAnsi="Cambria" w:cs="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FD5330"/>
    <w:rPr>
      <w:rFonts w:ascii="Cambria" w:eastAsia="新細明體" w:hAnsi="Cambria" w:cs="Cambria"/>
      <w:b/>
      <w:bCs/>
      <w:sz w:val="48"/>
      <w:szCs w:val="48"/>
    </w:rPr>
  </w:style>
  <w:style w:type="paragraph" w:customStyle="1" w:styleId="ListParagraph1">
    <w:name w:val="List Paragraph1"/>
    <w:basedOn w:val="a"/>
    <w:uiPriority w:val="99"/>
    <w:rsid w:val="00A266E5"/>
    <w:pPr>
      <w:ind w:leftChars="200" w:left="480"/>
    </w:pPr>
  </w:style>
  <w:style w:type="paragraph" w:styleId="a3">
    <w:name w:val="Balloon Text"/>
    <w:basedOn w:val="a"/>
    <w:link w:val="a4"/>
    <w:uiPriority w:val="99"/>
    <w:semiHidden/>
    <w:rsid w:val="00A266E5"/>
    <w:rPr>
      <w:rFonts w:ascii="Cambria" w:hAnsi="Cambria" w:cs="Cambria"/>
      <w:kern w:val="0"/>
      <w:sz w:val="18"/>
      <w:szCs w:val="18"/>
    </w:rPr>
  </w:style>
  <w:style w:type="character" w:customStyle="1" w:styleId="a4">
    <w:name w:val="註解方塊文字 字元"/>
    <w:link w:val="a3"/>
    <w:uiPriority w:val="99"/>
    <w:semiHidden/>
    <w:locked/>
    <w:rsid w:val="00A266E5"/>
    <w:rPr>
      <w:rFonts w:ascii="Cambria" w:eastAsia="新細明體" w:hAnsi="Cambria" w:cs="Cambria"/>
      <w:sz w:val="18"/>
      <w:szCs w:val="18"/>
    </w:rPr>
  </w:style>
  <w:style w:type="paragraph" w:customStyle="1" w:styleId="1">
    <w:name w:val="清單段落1"/>
    <w:basedOn w:val="a"/>
    <w:link w:val="ListParagraphChar"/>
    <w:uiPriority w:val="99"/>
    <w:rsid w:val="00775957"/>
    <w:pPr>
      <w:ind w:leftChars="200" w:left="480"/>
    </w:pPr>
    <w:rPr>
      <w:rFonts w:eastAsia="微軟正黑體"/>
      <w:sz w:val="22"/>
      <w:szCs w:val="22"/>
    </w:rPr>
  </w:style>
  <w:style w:type="character" w:customStyle="1" w:styleId="ListParagraphChar">
    <w:name w:val="List Paragraph Char"/>
    <w:link w:val="1"/>
    <w:uiPriority w:val="99"/>
    <w:locked/>
    <w:rsid w:val="00775957"/>
    <w:rPr>
      <w:rFonts w:ascii="Calibri" w:eastAsia="微軟正黑體" w:hAnsi="Calibri" w:cs="Calibri"/>
      <w:kern w:val="2"/>
      <w:sz w:val="22"/>
      <w:szCs w:val="22"/>
      <w:lang w:val="en-US" w:eastAsia="zh-TW"/>
    </w:rPr>
  </w:style>
  <w:style w:type="paragraph" w:styleId="a5">
    <w:name w:val="header"/>
    <w:basedOn w:val="a"/>
    <w:link w:val="a6"/>
    <w:uiPriority w:val="99"/>
    <w:rsid w:val="007B005C"/>
    <w:pPr>
      <w:tabs>
        <w:tab w:val="center" w:pos="4153"/>
        <w:tab w:val="right" w:pos="8306"/>
      </w:tabs>
      <w:snapToGrid w:val="0"/>
    </w:pPr>
    <w:rPr>
      <w:kern w:val="0"/>
      <w:sz w:val="20"/>
      <w:szCs w:val="20"/>
    </w:rPr>
  </w:style>
  <w:style w:type="character" w:customStyle="1" w:styleId="a6">
    <w:name w:val="頁首 字元"/>
    <w:link w:val="a5"/>
    <w:uiPriority w:val="99"/>
    <w:locked/>
    <w:rsid w:val="007B005C"/>
    <w:rPr>
      <w:sz w:val="20"/>
      <w:szCs w:val="20"/>
    </w:rPr>
  </w:style>
  <w:style w:type="paragraph" w:styleId="a7">
    <w:name w:val="footer"/>
    <w:basedOn w:val="a"/>
    <w:link w:val="a8"/>
    <w:uiPriority w:val="99"/>
    <w:rsid w:val="007B005C"/>
    <w:pPr>
      <w:tabs>
        <w:tab w:val="center" w:pos="4153"/>
        <w:tab w:val="right" w:pos="8306"/>
      </w:tabs>
      <w:snapToGrid w:val="0"/>
    </w:pPr>
    <w:rPr>
      <w:kern w:val="0"/>
      <w:sz w:val="20"/>
      <w:szCs w:val="20"/>
    </w:rPr>
  </w:style>
  <w:style w:type="character" w:customStyle="1" w:styleId="a8">
    <w:name w:val="頁尾 字元"/>
    <w:link w:val="a7"/>
    <w:uiPriority w:val="99"/>
    <w:locked/>
    <w:rsid w:val="007B005C"/>
    <w:rPr>
      <w:sz w:val="20"/>
      <w:szCs w:val="20"/>
    </w:rPr>
  </w:style>
  <w:style w:type="character" w:styleId="a9">
    <w:name w:val="page number"/>
    <w:basedOn w:val="a0"/>
    <w:uiPriority w:val="99"/>
    <w:rsid w:val="00950062"/>
  </w:style>
  <w:style w:type="table" w:styleId="aa">
    <w:name w:val="Table Grid"/>
    <w:basedOn w:val="a1"/>
    <w:uiPriority w:val="99"/>
    <w:locked/>
    <w:rsid w:val="006E4F03"/>
    <w:pPr>
      <w:widowControl w:val="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99"/>
    <w:semiHidden/>
    <w:locked/>
    <w:rsid w:val="00384554"/>
    <w:pPr>
      <w:tabs>
        <w:tab w:val="right" w:leader="dot" w:pos="9600"/>
      </w:tabs>
      <w:spacing w:beforeLines="50" w:line="500" w:lineRule="atLeast"/>
    </w:pPr>
  </w:style>
  <w:style w:type="character" w:styleId="ab">
    <w:name w:val="Hyperlink"/>
    <w:uiPriority w:val="99"/>
    <w:rsid w:val="0012240D"/>
    <w:rPr>
      <w:color w:val="0000FF"/>
      <w:u w:val="single"/>
    </w:rPr>
  </w:style>
  <w:style w:type="paragraph" w:customStyle="1" w:styleId="ac">
    <w:name w:val="季報表"/>
    <w:basedOn w:val="a"/>
    <w:link w:val="ad"/>
    <w:uiPriority w:val="99"/>
    <w:rsid w:val="000B1163"/>
    <w:pPr>
      <w:adjustRightInd w:val="0"/>
      <w:snapToGrid w:val="0"/>
      <w:spacing w:beforeLines="50" w:afterLines="50" w:line="240" w:lineRule="atLeast"/>
      <w:jc w:val="both"/>
    </w:pPr>
    <w:rPr>
      <w:rFonts w:ascii="微軟正黑體" w:eastAsia="微軟正黑體" w:hAnsi="微軟正黑體" w:cs="微軟正黑體"/>
      <w:kern w:val="0"/>
      <w:sz w:val="26"/>
      <w:szCs w:val="26"/>
    </w:rPr>
  </w:style>
  <w:style w:type="character" w:customStyle="1" w:styleId="ad">
    <w:name w:val="季報表 字元"/>
    <w:link w:val="ac"/>
    <w:uiPriority w:val="99"/>
    <w:locked/>
    <w:rsid w:val="000B1163"/>
    <w:rPr>
      <w:rFonts w:ascii="微軟正黑體" w:eastAsia="微軟正黑體" w:hAnsi="微軟正黑體" w:cs="微軟正黑體"/>
      <w:sz w:val="26"/>
      <w:szCs w:val="26"/>
      <w:lang w:val="en-US" w:eastAsia="zh-TW"/>
    </w:rPr>
  </w:style>
  <w:style w:type="paragraph" w:customStyle="1" w:styleId="11">
    <w:name w:val="內文1"/>
    <w:uiPriority w:val="99"/>
    <w:rsid w:val="00B501A3"/>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49483">
      <w:marLeft w:val="0"/>
      <w:marRight w:val="0"/>
      <w:marTop w:val="0"/>
      <w:marBottom w:val="0"/>
      <w:divBdr>
        <w:top w:val="none" w:sz="0" w:space="0" w:color="auto"/>
        <w:left w:val="none" w:sz="0" w:space="0" w:color="auto"/>
        <w:bottom w:val="none" w:sz="0" w:space="0" w:color="auto"/>
        <w:right w:val="none" w:sz="0" w:space="0" w:color="auto"/>
      </w:divBdr>
      <w:divsChild>
        <w:div w:id="1181549481">
          <w:marLeft w:val="0"/>
          <w:marRight w:val="0"/>
          <w:marTop w:val="0"/>
          <w:marBottom w:val="0"/>
          <w:divBdr>
            <w:top w:val="none" w:sz="0" w:space="0" w:color="auto"/>
            <w:left w:val="none" w:sz="0" w:space="0" w:color="auto"/>
            <w:bottom w:val="none" w:sz="0" w:space="0" w:color="auto"/>
            <w:right w:val="none" w:sz="0" w:space="0" w:color="auto"/>
          </w:divBdr>
        </w:div>
      </w:divsChild>
    </w:div>
    <w:div w:id="1181549484">
      <w:marLeft w:val="0"/>
      <w:marRight w:val="0"/>
      <w:marTop w:val="0"/>
      <w:marBottom w:val="0"/>
      <w:divBdr>
        <w:top w:val="none" w:sz="0" w:space="0" w:color="auto"/>
        <w:left w:val="none" w:sz="0" w:space="0" w:color="auto"/>
        <w:bottom w:val="none" w:sz="0" w:space="0" w:color="auto"/>
        <w:right w:val="none" w:sz="0" w:space="0" w:color="auto"/>
      </w:divBdr>
    </w:div>
    <w:div w:id="1181549485">
      <w:marLeft w:val="0"/>
      <w:marRight w:val="0"/>
      <w:marTop w:val="0"/>
      <w:marBottom w:val="0"/>
      <w:divBdr>
        <w:top w:val="none" w:sz="0" w:space="0" w:color="auto"/>
        <w:left w:val="none" w:sz="0" w:space="0" w:color="auto"/>
        <w:bottom w:val="none" w:sz="0" w:space="0" w:color="auto"/>
        <w:right w:val="none" w:sz="0" w:space="0" w:color="auto"/>
      </w:divBdr>
    </w:div>
    <w:div w:id="1181549486">
      <w:marLeft w:val="0"/>
      <w:marRight w:val="0"/>
      <w:marTop w:val="0"/>
      <w:marBottom w:val="0"/>
      <w:divBdr>
        <w:top w:val="none" w:sz="0" w:space="0" w:color="auto"/>
        <w:left w:val="none" w:sz="0" w:space="0" w:color="auto"/>
        <w:bottom w:val="none" w:sz="0" w:space="0" w:color="auto"/>
        <w:right w:val="none" w:sz="0" w:space="0" w:color="auto"/>
      </w:divBdr>
      <w:divsChild>
        <w:div w:id="118154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最新統計報告摘要：</dc:title>
  <dc:subject/>
  <dc:creator>林孟杰</dc:creator>
  <cp:keywords/>
  <dc:description/>
  <cp:lastModifiedBy>李瑀姍</cp:lastModifiedBy>
  <cp:revision>2</cp:revision>
  <cp:lastPrinted>2016-11-02T07:40:00Z</cp:lastPrinted>
  <dcterms:created xsi:type="dcterms:W3CDTF">2016-11-09T08:44:00Z</dcterms:created>
  <dcterms:modified xsi:type="dcterms:W3CDTF">2016-11-09T08:44:00Z</dcterms:modified>
</cp:coreProperties>
</file>